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94E11D">
      <w:pPr>
        <w:adjustRightInd w:val="0"/>
        <w:snapToGrid w:val="0"/>
        <w:rPr>
          <w:color w:val="000000" w:themeColor="text1"/>
          <w14:textFill>
            <w14:solidFill>
              <w14:schemeClr w14:val="tx1"/>
            </w14:solidFill>
          </w14:textFill>
        </w:rPr>
      </w:pPr>
      <w:bookmarkStart w:id="0" w:name="_Hlk104193562"/>
      <w:bookmarkEnd w:id="0"/>
    </w:p>
    <w:p w14:paraId="20D4FA71">
      <w:pPr>
        <w:adjustRightInd w:val="0"/>
        <w:snapToGrid w:val="0"/>
        <w:rPr>
          <w:color w:val="000000" w:themeColor="text1"/>
          <w:sz w:val="28"/>
          <w:szCs w:val="28"/>
          <w14:textFill>
            <w14:solidFill>
              <w14:schemeClr w14:val="tx1"/>
            </w14:solidFill>
          </w14:textFill>
        </w:rPr>
      </w:pPr>
    </w:p>
    <w:p w14:paraId="617EC516">
      <w:pPr>
        <w:adjustRightInd w:val="0"/>
        <w:snapToGrid w:val="0"/>
        <w:rPr>
          <w:color w:val="000000" w:themeColor="text1"/>
          <w:sz w:val="28"/>
          <w:szCs w:val="28"/>
          <w14:textFill>
            <w14:solidFill>
              <w14:schemeClr w14:val="tx1"/>
            </w14:solidFill>
          </w14:textFill>
        </w:rPr>
      </w:pPr>
    </w:p>
    <w:p w14:paraId="2DF008DE">
      <w:pPr>
        <w:adjustRightInd w:val="0"/>
        <w:snapToGrid w:val="0"/>
        <w:rPr>
          <w:color w:val="000000" w:themeColor="text1"/>
          <w:sz w:val="28"/>
          <w:szCs w:val="28"/>
          <w14:textFill>
            <w14:solidFill>
              <w14:schemeClr w14:val="tx1"/>
            </w14:solidFill>
          </w14:textFill>
        </w:rPr>
      </w:pPr>
    </w:p>
    <w:p w14:paraId="3E0D821B">
      <w:pPr>
        <w:adjustRightInd w:val="0"/>
        <w:snapToGrid w:val="0"/>
        <w:rPr>
          <w:color w:val="000000" w:themeColor="text1"/>
          <w:sz w:val="28"/>
          <w:szCs w:val="28"/>
          <w14:textFill>
            <w14:solidFill>
              <w14:schemeClr w14:val="tx1"/>
            </w14:solidFill>
          </w14:textFill>
        </w:rPr>
      </w:pPr>
    </w:p>
    <w:p w14:paraId="16C91C2A">
      <w:pPr>
        <w:tabs>
          <w:tab w:val="center" w:pos="4156"/>
          <w:tab w:val="left" w:pos="6405"/>
        </w:tabs>
        <w:adjustRightInd w:val="0"/>
        <w:snapToGrid w:val="0"/>
        <w:jc w:val="center"/>
        <w:rPr>
          <w:b/>
          <w:bCs/>
          <w:color w:val="000000" w:themeColor="text1"/>
          <w:sz w:val="72"/>
          <w:szCs w:val="72"/>
          <w14:textFill>
            <w14:solidFill>
              <w14:schemeClr w14:val="tx1"/>
            </w14:solidFill>
          </w14:textFill>
        </w:rPr>
      </w:pPr>
      <w:r>
        <w:rPr>
          <w:rFonts w:hint="eastAsia"/>
          <w:b/>
          <w:bCs/>
          <w:color w:val="000000" w:themeColor="text1"/>
          <w:sz w:val="72"/>
          <w:szCs w:val="72"/>
          <w14:textFill>
            <w14:solidFill>
              <w14:schemeClr w14:val="tx1"/>
            </w14:solidFill>
          </w14:textFill>
        </w:rPr>
        <w:t>竞争性磋商文件</w:t>
      </w:r>
    </w:p>
    <w:p w14:paraId="43FBDAB2">
      <w:pPr>
        <w:adjustRightInd w:val="0"/>
        <w:snapToGrid w:val="0"/>
        <w:rPr>
          <w:color w:val="000000" w:themeColor="text1"/>
          <w:sz w:val="28"/>
          <w:szCs w:val="28"/>
          <w14:textFill>
            <w14:solidFill>
              <w14:schemeClr w14:val="tx1"/>
            </w14:solidFill>
          </w14:textFill>
        </w:rPr>
      </w:pPr>
    </w:p>
    <w:p w14:paraId="586BFF47">
      <w:pPr>
        <w:adjustRightInd w:val="0"/>
        <w:snapToGrid w:val="0"/>
        <w:rPr>
          <w:color w:val="000000" w:themeColor="text1"/>
          <w:sz w:val="28"/>
          <w:szCs w:val="28"/>
          <w14:textFill>
            <w14:solidFill>
              <w14:schemeClr w14:val="tx1"/>
            </w14:solidFill>
          </w14:textFill>
        </w:rPr>
      </w:pPr>
    </w:p>
    <w:p w14:paraId="3B8B5E54">
      <w:pPr>
        <w:adjustRightInd w:val="0"/>
        <w:snapToGrid w:val="0"/>
        <w:rPr>
          <w:color w:val="000000" w:themeColor="text1"/>
          <w:sz w:val="28"/>
          <w:szCs w:val="28"/>
          <w14:textFill>
            <w14:solidFill>
              <w14:schemeClr w14:val="tx1"/>
            </w14:solidFill>
          </w14:textFill>
        </w:rPr>
      </w:pPr>
    </w:p>
    <w:p w14:paraId="0C761BEC">
      <w:pPr>
        <w:adjustRightInd w:val="0"/>
        <w:snapToGrid w:val="0"/>
        <w:rPr>
          <w:color w:val="000000" w:themeColor="text1"/>
          <w:sz w:val="28"/>
          <w:szCs w:val="28"/>
          <w14:textFill>
            <w14:solidFill>
              <w14:schemeClr w14:val="tx1"/>
            </w14:solidFill>
          </w14:textFill>
        </w:rPr>
      </w:pPr>
    </w:p>
    <w:p w14:paraId="5068CB8C">
      <w:pPr>
        <w:adjustRightInd w:val="0"/>
        <w:snapToGrid w:val="0"/>
        <w:rPr>
          <w:color w:val="000000" w:themeColor="text1"/>
          <w:sz w:val="28"/>
          <w:szCs w:val="28"/>
          <w14:textFill>
            <w14:solidFill>
              <w14:schemeClr w14:val="tx1"/>
            </w14:solidFill>
          </w14:textFill>
        </w:rPr>
      </w:pPr>
    </w:p>
    <w:p w14:paraId="7E71780F">
      <w:pPr>
        <w:adjustRightInd w:val="0"/>
        <w:snapToGrid w:val="0"/>
        <w:rPr>
          <w:color w:val="000000" w:themeColor="text1"/>
          <w:sz w:val="28"/>
          <w:szCs w:val="28"/>
          <w14:textFill>
            <w14:solidFill>
              <w14:schemeClr w14:val="tx1"/>
            </w14:solidFill>
          </w14:textFill>
        </w:rPr>
      </w:pPr>
    </w:p>
    <w:p w14:paraId="7CC03F95">
      <w:pPr>
        <w:adjustRightInd w:val="0"/>
        <w:snapToGrid w:val="0"/>
        <w:rPr>
          <w:color w:val="000000" w:themeColor="text1"/>
          <w:sz w:val="28"/>
          <w:szCs w:val="28"/>
          <w14:textFill>
            <w14:solidFill>
              <w14:schemeClr w14:val="tx1"/>
            </w14:solidFill>
          </w14:textFill>
        </w:rPr>
      </w:pPr>
    </w:p>
    <w:tbl>
      <w:tblPr>
        <w:tblStyle w:val="29"/>
        <w:tblW w:w="5069" w:type="pct"/>
        <w:jc w:val="center"/>
        <w:tblLayout w:type="autofit"/>
        <w:tblCellMar>
          <w:top w:w="0" w:type="dxa"/>
          <w:left w:w="108" w:type="dxa"/>
          <w:bottom w:w="0" w:type="dxa"/>
          <w:right w:w="108" w:type="dxa"/>
        </w:tblCellMar>
      </w:tblPr>
      <w:tblGrid>
        <w:gridCol w:w="1802"/>
        <w:gridCol w:w="6838"/>
      </w:tblGrid>
      <w:tr w14:paraId="1956B155">
        <w:trPr>
          <w:trHeight w:val="1134" w:hRule="atLeast"/>
          <w:jc w:val="center"/>
        </w:trPr>
        <w:tc>
          <w:tcPr>
            <w:tcW w:w="1043" w:type="pct"/>
            <w:vAlign w:val="center"/>
          </w:tcPr>
          <w:p w14:paraId="20AB1678">
            <w:pPr>
              <w:adjustRightInd w:val="0"/>
              <w:snapToGrid w:val="0"/>
              <w:jc w:val="right"/>
              <w:rPr>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项目编号：</w:t>
            </w:r>
          </w:p>
        </w:tc>
        <w:tc>
          <w:tcPr>
            <w:tcW w:w="3957" w:type="pct"/>
            <w:vAlign w:val="center"/>
          </w:tcPr>
          <w:p w14:paraId="618FD2E6">
            <w:pPr>
              <w:adjustRightInd w:val="0"/>
              <w:snapToGrid w:val="0"/>
              <w:jc w:val="left"/>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2025-055</w:t>
            </w:r>
          </w:p>
        </w:tc>
      </w:tr>
      <w:tr w14:paraId="4C3265A9">
        <w:tblPrEx>
          <w:tblCellMar>
            <w:top w:w="0" w:type="dxa"/>
            <w:left w:w="108" w:type="dxa"/>
            <w:bottom w:w="0" w:type="dxa"/>
            <w:right w:w="108" w:type="dxa"/>
          </w:tblCellMar>
        </w:tblPrEx>
        <w:trPr>
          <w:trHeight w:val="1134" w:hRule="atLeast"/>
          <w:jc w:val="center"/>
        </w:trPr>
        <w:tc>
          <w:tcPr>
            <w:tcW w:w="1043" w:type="pct"/>
            <w:vAlign w:val="center"/>
          </w:tcPr>
          <w:p w14:paraId="6A7E18A1">
            <w:pPr>
              <w:adjustRightInd w:val="0"/>
              <w:snapToGrid w:val="0"/>
              <w:jc w:val="right"/>
              <w:rPr>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项目名称：</w:t>
            </w:r>
          </w:p>
        </w:tc>
        <w:tc>
          <w:tcPr>
            <w:tcW w:w="3957" w:type="pct"/>
            <w:vAlign w:val="center"/>
          </w:tcPr>
          <w:p w14:paraId="27CD871D">
            <w:pPr>
              <w:adjustRightInd w:val="0"/>
              <w:snapToGrid w:val="0"/>
              <w:jc w:val="left"/>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江门海关2026年涉案船舶委托保管服务</w:t>
            </w:r>
          </w:p>
        </w:tc>
      </w:tr>
    </w:tbl>
    <w:p w14:paraId="5D6FD763">
      <w:pPr>
        <w:adjustRightInd w:val="0"/>
        <w:snapToGrid w:val="0"/>
        <w:rPr>
          <w:color w:val="000000" w:themeColor="text1"/>
          <w:sz w:val="28"/>
          <w:szCs w:val="28"/>
          <w14:textFill>
            <w14:solidFill>
              <w14:schemeClr w14:val="tx1"/>
            </w14:solidFill>
          </w14:textFill>
        </w:rPr>
      </w:pPr>
    </w:p>
    <w:p w14:paraId="2587DB03">
      <w:pPr>
        <w:adjustRightInd w:val="0"/>
        <w:snapToGrid w:val="0"/>
        <w:rPr>
          <w:color w:val="000000" w:themeColor="text1"/>
          <w:sz w:val="28"/>
          <w:szCs w:val="28"/>
          <w14:textFill>
            <w14:solidFill>
              <w14:schemeClr w14:val="tx1"/>
            </w14:solidFill>
          </w14:textFill>
        </w:rPr>
      </w:pPr>
    </w:p>
    <w:p w14:paraId="025BF654">
      <w:pPr>
        <w:adjustRightInd w:val="0"/>
        <w:snapToGrid w:val="0"/>
        <w:rPr>
          <w:color w:val="000000" w:themeColor="text1"/>
          <w:sz w:val="28"/>
          <w:szCs w:val="28"/>
          <w14:textFill>
            <w14:solidFill>
              <w14:schemeClr w14:val="tx1"/>
            </w14:solidFill>
          </w14:textFill>
        </w:rPr>
      </w:pPr>
    </w:p>
    <w:p w14:paraId="0ABAE7F5">
      <w:pPr>
        <w:adjustRightInd w:val="0"/>
        <w:snapToGrid w:val="0"/>
        <w:rPr>
          <w:color w:val="000000" w:themeColor="text1"/>
          <w:sz w:val="28"/>
          <w:szCs w:val="28"/>
          <w14:textFill>
            <w14:solidFill>
              <w14:schemeClr w14:val="tx1"/>
            </w14:solidFill>
          </w14:textFill>
        </w:rPr>
      </w:pPr>
    </w:p>
    <w:p w14:paraId="3039434D">
      <w:pPr>
        <w:adjustRightInd w:val="0"/>
        <w:snapToGrid w:val="0"/>
        <w:rPr>
          <w:color w:val="000000" w:themeColor="text1"/>
          <w:sz w:val="28"/>
          <w:szCs w:val="28"/>
          <w14:textFill>
            <w14:solidFill>
              <w14:schemeClr w14:val="tx1"/>
            </w14:solidFill>
          </w14:textFill>
        </w:rPr>
      </w:pPr>
    </w:p>
    <w:p w14:paraId="1C90C833">
      <w:pPr>
        <w:pStyle w:val="21"/>
        <w:spacing w:line="360" w:lineRule="auto"/>
        <w:ind w:firstLine="0" w:firstLineChars="0"/>
        <w:jc w:val="center"/>
        <w:rPr>
          <w:b/>
          <w:bCs/>
          <w:color w:val="000000" w:themeColor="text1"/>
          <w14:textFill>
            <w14:solidFill>
              <w14:schemeClr w14:val="tx1"/>
            </w14:solidFill>
          </w14:textFill>
        </w:rPr>
      </w:pPr>
    </w:p>
    <w:p w14:paraId="373457B5">
      <w:pPr>
        <w:pStyle w:val="21"/>
        <w:spacing w:line="360" w:lineRule="auto"/>
        <w:ind w:firstLine="0" w:firstLineChars="0"/>
        <w:jc w:val="center"/>
        <w:rPr>
          <w:b/>
          <w:bCs/>
          <w:color w:val="000000" w:themeColor="text1"/>
          <w14:textFill>
            <w14:solidFill>
              <w14:schemeClr w14:val="tx1"/>
            </w14:solidFill>
          </w14:textFill>
        </w:rPr>
      </w:pPr>
    </w:p>
    <w:p w14:paraId="7F3C51C0">
      <w:pPr>
        <w:pStyle w:val="21"/>
        <w:spacing w:line="360" w:lineRule="auto"/>
        <w:ind w:firstLine="0" w:firstLineChars="0"/>
        <w:jc w:val="center"/>
        <w:rPr>
          <w:b/>
          <w:bCs/>
          <w:color w:val="000000" w:themeColor="text1"/>
          <w14:textFill>
            <w14:solidFill>
              <w14:schemeClr w14:val="tx1"/>
            </w14:solidFill>
          </w14:textFill>
        </w:rPr>
      </w:pPr>
    </w:p>
    <w:p w14:paraId="178781FE">
      <w:pPr>
        <w:pStyle w:val="21"/>
        <w:spacing w:line="360" w:lineRule="auto"/>
        <w:ind w:firstLine="0" w:firstLineChars="0"/>
        <w:jc w:val="center"/>
        <w:rPr>
          <w:b/>
          <w:bCs/>
          <w:color w:val="000000" w:themeColor="text1"/>
          <w14:textFill>
            <w14:solidFill>
              <w14:schemeClr w14:val="tx1"/>
            </w14:solidFill>
          </w14:textFill>
        </w:rPr>
      </w:pPr>
    </w:p>
    <w:p w14:paraId="3D75B966">
      <w:pPr>
        <w:pStyle w:val="21"/>
        <w:spacing w:line="360" w:lineRule="auto"/>
        <w:ind w:firstLine="0" w:firstLineChars="0"/>
        <w:jc w:val="center"/>
        <w:rPr>
          <w:b/>
          <w:bCs/>
          <w:color w:val="000000" w:themeColor="text1"/>
          <w14:textFill>
            <w14:solidFill>
              <w14:schemeClr w14:val="tx1"/>
            </w14:solidFill>
          </w14:textFill>
        </w:rPr>
      </w:pPr>
    </w:p>
    <w:p w14:paraId="15827B57">
      <w:pPr>
        <w:pStyle w:val="21"/>
        <w:spacing w:line="360" w:lineRule="auto"/>
        <w:ind w:firstLine="0" w:firstLineChars="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采购人：中华人民共和国江门海关后勤管理中心</w:t>
      </w:r>
    </w:p>
    <w:p w14:paraId="3108F9DA">
      <w:pPr>
        <w:pStyle w:val="21"/>
        <w:spacing w:line="360" w:lineRule="auto"/>
        <w:ind w:firstLine="0" w:firstLineChars="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采购代理机构：公诚管理咨询有限公司</w:t>
      </w:r>
    </w:p>
    <w:p w14:paraId="4A806338">
      <w:pPr>
        <w:pStyle w:val="21"/>
        <w:spacing w:line="360" w:lineRule="auto"/>
        <w:ind w:firstLine="0" w:firstLineChars="0"/>
        <w:jc w:val="center"/>
        <w:rPr>
          <w:b/>
          <w:bCs/>
          <w:color w:val="000000" w:themeColor="text1"/>
          <w14:textFill>
            <w14:solidFill>
              <w14:schemeClr w14:val="tx1"/>
            </w14:solidFill>
          </w14:textFill>
        </w:rPr>
        <w:sectPr>
          <w:pgSz w:w="11906" w:h="16838"/>
          <w:pgMar w:top="1440" w:right="1800" w:bottom="1440" w:left="1800" w:header="426" w:footer="992" w:gutter="0"/>
          <w:cols w:space="720" w:num="1"/>
          <w:titlePg/>
          <w:docGrid w:type="lines" w:linePitch="312" w:charSpace="0"/>
        </w:sectPr>
      </w:pPr>
      <w:r>
        <w:rPr>
          <w:rFonts w:hint="eastAsia"/>
          <w:b/>
          <w:bCs/>
          <w:color w:val="000000" w:themeColor="text1"/>
          <w14:textFill>
            <w14:solidFill>
              <w14:schemeClr w14:val="tx1"/>
            </w14:solidFill>
          </w14:textFill>
        </w:rPr>
        <w:t>日期：二○二五年十二月</w:t>
      </w:r>
    </w:p>
    <w:p w14:paraId="2072297F">
      <w:pPr>
        <w:pStyle w:val="21"/>
        <w:ind w:firstLine="0" w:firstLineChars="0"/>
        <w:jc w:val="center"/>
        <w:rPr>
          <w:b/>
          <w:bCs/>
          <w:color w:val="000000" w:themeColor="text1"/>
          <w:sz w:val="44"/>
          <w:szCs w:val="44"/>
          <w14:textFill>
            <w14:solidFill>
              <w14:schemeClr w14:val="tx1"/>
            </w14:solidFill>
          </w14:textFill>
        </w:rPr>
      </w:pPr>
      <w:r>
        <w:rPr>
          <w:rFonts w:hint="eastAsia"/>
          <w:b/>
          <w:bCs/>
          <w:color w:val="000000" w:themeColor="text1"/>
          <w:sz w:val="44"/>
          <w:szCs w:val="44"/>
          <w14:textFill>
            <w14:solidFill>
              <w14:schemeClr w14:val="tx1"/>
            </w14:solidFill>
          </w14:textFill>
        </w:rPr>
        <w:t>温馨提示</w:t>
      </w:r>
    </w:p>
    <w:p w14:paraId="471E78E2">
      <w:pPr>
        <w:numPr>
          <w:ilvl w:val="0"/>
          <w:numId w:val="2"/>
        </w:numPr>
        <w:tabs>
          <w:tab w:val="left" w:pos="502"/>
          <w:tab w:val="left" w:pos="2279"/>
          <w:tab w:val="left" w:pos="4769"/>
        </w:tabs>
        <w:spacing w:line="360" w:lineRule="auto"/>
        <w:ind w:left="420" w:hanging="420" w:hangingChars="200"/>
        <w:rPr>
          <w:color w:val="000000" w:themeColor="text1"/>
          <w14:textFill>
            <w14:solidFill>
              <w14:schemeClr w14:val="tx1"/>
            </w14:solidFill>
          </w14:textFill>
        </w:rPr>
      </w:pPr>
      <w:r>
        <w:rPr>
          <w:rFonts w:hint="eastAsia"/>
          <w:color w:val="000000" w:themeColor="text1"/>
          <w14:textFill>
            <w14:solidFill>
              <w14:schemeClr w14:val="tx1"/>
            </w14:solidFill>
          </w14:textFill>
        </w:rPr>
        <w:t>“□”为选择项，采购人/采购代理机构采用相应内容的以“■”或“☑”表示，不采用相应内容的仍然以“□”表示。</w:t>
      </w:r>
    </w:p>
    <w:p w14:paraId="1255B3AC">
      <w:pPr>
        <w:numPr>
          <w:ilvl w:val="0"/>
          <w:numId w:val="2"/>
        </w:numPr>
        <w:tabs>
          <w:tab w:val="left" w:pos="502"/>
          <w:tab w:val="left" w:pos="2279"/>
          <w:tab w:val="left" w:pos="4769"/>
        </w:tabs>
        <w:spacing w:line="360" w:lineRule="auto"/>
        <w:ind w:left="420" w:hanging="420" w:hanging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邀请供应商参加开启会议，出席开启会议的人员应当为供应商法定代表人或其授权代表，并携带相关身份证件；响应文件递交地址/开启地址详见第一章磋商邀请；请供应商适当提前到达指定地点，建议在响应文件提交截止时间前30分钟到达。</w:t>
      </w:r>
    </w:p>
    <w:p w14:paraId="7B72179E">
      <w:pPr>
        <w:numPr>
          <w:ilvl w:val="0"/>
          <w:numId w:val="2"/>
        </w:numPr>
        <w:tabs>
          <w:tab w:val="left" w:pos="502"/>
          <w:tab w:val="left" w:pos="2279"/>
          <w:tab w:val="left" w:pos="4769"/>
        </w:tabs>
        <w:spacing w:line="360" w:lineRule="auto"/>
        <w:ind w:left="420" w:hanging="420" w:hangingChars="200"/>
        <w:rPr>
          <w:color w:val="000000" w:themeColor="text1"/>
          <w14:textFill>
            <w14:solidFill>
              <w14:schemeClr w14:val="tx1"/>
            </w14:solidFill>
          </w14:textFill>
        </w:rPr>
      </w:pPr>
      <w:r>
        <w:rPr>
          <w:rFonts w:hint="eastAsia"/>
          <w:color w:val="000000" w:themeColor="text1"/>
          <w14:textFill>
            <w14:solidFill>
              <w14:schemeClr w14:val="tx1"/>
            </w14:solidFill>
          </w14:textFill>
        </w:rPr>
        <w:t>响应文件应按顺序编制页码和目录，请仔细检查响应文件是否已按磋商文件要求盖章、签名、签署日期；建议逐页盖章或者在骑缝位置盖章。</w:t>
      </w:r>
    </w:p>
    <w:p w14:paraId="18643280">
      <w:pPr>
        <w:numPr>
          <w:ilvl w:val="0"/>
          <w:numId w:val="2"/>
        </w:numPr>
        <w:tabs>
          <w:tab w:val="left" w:pos="502"/>
          <w:tab w:val="left" w:pos="2279"/>
          <w:tab w:val="left" w:pos="4769"/>
        </w:tabs>
        <w:spacing w:line="360" w:lineRule="auto"/>
        <w:ind w:left="420" w:hanging="420" w:hangingChars="200"/>
        <w:rPr>
          <w:b/>
          <w:color w:val="000000" w:themeColor="text1"/>
          <w14:textFill>
            <w14:solidFill>
              <w14:schemeClr w14:val="tx1"/>
            </w14:solidFill>
          </w14:textFill>
        </w:rPr>
      </w:pPr>
      <w:r>
        <w:rPr>
          <w:rFonts w:hint="eastAsia"/>
          <w:color w:val="000000" w:themeColor="text1"/>
          <w14:textFill>
            <w14:solidFill>
              <w14:schemeClr w14:val="tx1"/>
            </w14:solidFill>
          </w14:textFill>
        </w:rPr>
        <w:t>请仔细根据资格性审查表和符合性审查表逐条检查响应文件对应内容是否符合磋商文件要求，检查相关证照、证书、人员身份证等证明材料是否在有效期内，业绩合同是否有签订日期，是否在规定的时间范围内。</w:t>
      </w:r>
    </w:p>
    <w:p w14:paraId="10863C90">
      <w:pPr>
        <w:widowControl/>
        <w:numPr>
          <w:ilvl w:val="0"/>
          <w:numId w:val="2"/>
        </w:numPr>
        <w:tabs>
          <w:tab w:val="left" w:pos="502"/>
          <w:tab w:val="left" w:pos="2279"/>
          <w:tab w:val="left" w:pos="4769"/>
        </w:tabs>
        <w:spacing w:line="360" w:lineRule="auto"/>
        <w:ind w:left="420" w:hanging="420" w:hangingChars="200"/>
        <w:rPr>
          <w:color w:val="000000" w:themeColor="text1"/>
          <w14:textFill>
            <w14:solidFill>
              <w14:schemeClr w14:val="tx1"/>
            </w14:solidFill>
          </w14:textFill>
        </w:rPr>
      </w:pPr>
      <w:r>
        <w:rPr>
          <w:rFonts w:hint="eastAsia"/>
          <w:color w:val="000000" w:themeColor="text1"/>
          <w14:textFill>
            <w14:solidFill>
              <w14:schemeClr w14:val="tx1"/>
            </w14:solidFill>
          </w14:textFill>
        </w:rPr>
        <w:t>磋商文件中如有实质性条款要求，则响应文件格式中《实质性条款响应表》不能留空白，一定要按照磋商文件要求填写，若要求提供证明材料还须对应提供证明材料。</w:t>
      </w:r>
    </w:p>
    <w:p w14:paraId="7E6C669A">
      <w:pPr>
        <w:numPr>
          <w:ilvl w:val="0"/>
          <w:numId w:val="2"/>
        </w:numPr>
        <w:tabs>
          <w:tab w:val="left" w:pos="502"/>
          <w:tab w:val="left" w:pos="2279"/>
          <w:tab w:val="left" w:pos="4769"/>
        </w:tabs>
        <w:spacing w:line="360" w:lineRule="auto"/>
        <w:ind w:left="420" w:hanging="420" w:hangingChars="200"/>
        <w:rPr>
          <w:color w:val="000000" w:themeColor="text1"/>
          <w14:textFill>
            <w14:solidFill>
              <w14:schemeClr w14:val="tx1"/>
            </w14:solidFill>
          </w14:textFill>
        </w:rPr>
      </w:pPr>
      <w:r>
        <w:rPr>
          <w:rFonts w:hint="eastAsia"/>
          <w:color w:val="000000" w:themeColor="text1"/>
          <w14:textFill>
            <w14:solidFill>
              <w14:schemeClr w14:val="tx1"/>
            </w14:solidFill>
          </w14:textFill>
        </w:rPr>
        <w:t>为方便评审，提高评审效率和质量，建议供应商可根据评审标准要求，对照自己的响应文件，用显眼的方式标记出对应的响应内容。</w:t>
      </w:r>
    </w:p>
    <w:p w14:paraId="1A2C2717">
      <w:pPr>
        <w:numPr>
          <w:ilvl w:val="0"/>
          <w:numId w:val="2"/>
        </w:numPr>
        <w:tabs>
          <w:tab w:val="left" w:pos="502"/>
          <w:tab w:val="left" w:pos="1408"/>
          <w:tab w:val="left" w:pos="4769"/>
        </w:tabs>
        <w:spacing w:line="360" w:lineRule="auto"/>
        <w:ind w:left="420" w:hanging="420" w:hangingChars="200"/>
        <w:rPr>
          <w:color w:val="000000" w:themeColor="text1"/>
          <w14:textFill>
            <w14:solidFill>
              <w14:schemeClr w14:val="tx1"/>
            </w14:solidFill>
          </w14:textFill>
        </w:rPr>
      </w:pPr>
      <w:r>
        <w:rPr>
          <w:rFonts w:hint="eastAsia"/>
          <w:color w:val="000000" w:themeColor="text1"/>
          <w14:textFill>
            <w14:solidFill>
              <w14:schemeClr w14:val="tx1"/>
            </w14:solidFill>
          </w14:textFill>
        </w:rPr>
        <w:t>为了提高采购效率，节约社会交易成本与时间，希望获取了磋商文件的供应商人如果决定放弃响应的，在响应文件提交截止时间前2日，以书面盖章形式告知采购代理机构：xiongjiaxin.gcmc.gd@chinaccs.cn。</w:t>
      </w:r>
    </w:p>
    <w:p w14:paraId="7A50A37F">
      <w:pPr>
        <w:numPr>
          <w:ilvl w:val="0"/>
          <w:numId w:val="2"/>
        </w:numPr>
        <w:tabs>
          <w:tab w:val="left" w:pos="502"/>
          <w:tab w:val="left" w:pos="1408"/>
          <w:tab w:val="left" w:pos="4769"/>
        </w:tabs>
        <w:spacing w:line="360" w:lineRule="auto"/>
        <w:ind w:left="420" w:hanging="420" w:hanging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根据“节约能源、保护环境”要求，建议供应商双面打印响应文件。</w:t>
      </w:r>
    </w:p>
    <w:p w14:paraId="57812A32">
      <w:pPr>
        <w:numPr>
          <w:ilvl w:val="0"/>
          <w:numId w:val="2"/>
        </w:numPr>
        <w:tabs>
          <w:tab w:val="left" w:pos="502"/>
          <w:tab w:val="left" w:pos="1408"/>
          <w:tab w:val="left" w:pos="4769"/>
        </w:tabs>
        <w:spacing w:line="360" w:lineRule="auto"/>
        <w:ind w:left="420" w:hanging="420" w:hanging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特别说明：本提示内容非磋商文件的组成部分，仅为善意提醒；如有不一致的地方，以磋商文件为准。</w:t>
      </w:r>
    </w:p>
    <w:p w14:paraId="2D665B48">
      <w:pPr>
        <w:rPr>
          <w:color w:val="000000" w:themeColor="text1"/>
          <w14:textFill>
            <w14:solidFill>
              <w14:schemeClr w14:val="tx1"/>
            </w14:solidFill>
          </w14:textFill>
        </w:rPr>
        <w:sectPr>
          <w:footerReference r:id="rId4" w:type="first"/>
          <w:footerReference r:id="rId3" w:type="default"/>
          <w:pgSz w:w="11906" w:h="16838"/>
          <w:pgMar w:top="1440" w:right="1800" w:bottom="1440" w:left="1800" w:header="426" w:footer="992" w:gutter="0"/>
          <w:cols w:space="720" w:num="1"/>
          <w:docGrid w:type="lines" w:linePitch="312" w:charSpace="0"/>
        </w:sectPr>
      </w:pPr>
    </w:p>
    <w:p w14:paraId="4AE66D57">
      <w:pPr>
        <w:jc w:val="center"/>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目</w:t>
      </w:r>
      <w:r>
        <w:rPr>
          <w:rFonts w:hint="eastAsia"/>
          <w:b/>
          <w:bCs/>
          <w:color w:val="000000" w:themeColor="text1"/>
          <w:sz w:val="32"/>
          <w:szCs w:val="32"/>
          <w14:textFill>
            <w14:solidFill>
              <w14:schemeClr w14:val="tx1"/>
            </w14:solidFill>
          </w14:textFill>
        </w:rPr>
        <w:tab/>
      </w:r>
      <w:r>
        <w:rPr>
          <w:rFonts w:hint="eastAsia"/>
          <w:b/>
          <w:bCs/>
          <w:color w:val="000000" w:themeColor="text1"/>
          <w:sz w:val="32"/>
          <w:szCs w:val="32"/>
          <w14:textFill>
            <w14:solidFill>
              <w14:schemeClr w14:val="tx1"/>
            </w14:solidFill>
          </w14:textFill>
        </w:rPr>
        <w:t xml:space="preserve">  录</w:t>
      </w:r>
    </w:p>
    <w:p w14:paraId="3321DAA9">
      <w:pPr>
        <w:jc w:val="center"/>
        <w:rPr>
          <w:color w:val="000000" w:themeColor="text1"/>
          <w14:textFill>
            <w14:solidFill>
              <w14:schemeClr w14:val="tx1"/>
            </w14:solidFill>
          </w14:textFill>
        </w:rPr>
      </w:pPr>
    </w:p>
    <w:p w14:paraId="2C5AE04A">
      <w:pPr>
        <w:pStyle w:val="19"/>
        <w:tabs>
          <w:tab w:val="right" w:leader="dot" w:pos="9746"/>
        </w:tabs>
        <w:spacing w:before="0" w:after="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fldChar w:fldCharType="begin"/>
      </w:r>
      <w:r>
        <w:rPr>
          <w:rFonts w:hint="eastAsia"/>
          <w:color w:val="000000" w:themeColor="text1"/>
          <w14:textFill>
            <w14:solidFill>
              <w14:schemeClr w14:val="tx1"/>
            </w14:solidFill>
          </w14:textFill>
        </w:rPr>
        <w:instrText xml:space="preserve">TOC \o "1-2" \h \u </w:instrText>
      </w:r>
      <w:r>
        <w:rPr>
          <w:rFonts w:hint="eastAsia"/>
          <w:color w:val="000000" w:themeColor="text1"/>
          <w14:textFill>
            <w14:solidFill>
              <w14:schemeClr w14:val="tx1"/>
            </w14:solidFill>
          </w14:textFill>
        </w:rPr>
        <w:fldChar w:fldCharType="separate"/>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"_Toc30850" </w:instrText>
      </w:r>
      <w:r>
        <w:rPr>
          <w:color w:val="000000" w:themeColor="text1"/>
          <w14:textFill>
            <w14:solidFill>
              <w14:schemeClr w14:val="tx1"/>
            </w14:solidFill>
          </w14:textFill>
        </w:rPr>
        <w:fldChar w:fldCharType="separate"/>
      </w:r>
      <w:r>
        <w:rPr>
          <w:rFonts w:hint="eastAsia" w:eastAsia="宋体"/>
          <w:color w:val="000000" w:themeColor="text1"/>
          <w:szCs w:val="24"/>
          <w14:textFill>
            <w14:solidFill>
              <w14:schemeClr w14:val="tx1"/>
            </w14:solidFill>
          </w14:textFill>
        </w:rPr>
        <w:t>第一章 磋商邀请</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_Toc30850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4FAF73C0">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"_Toc6200" </w:instrText>
      </w:r>
      <w:r>
        <w:rPr>
          <w:color w:val="000000" w:themeColor="text1"/>
          <w14:textFill>
            <w14:solidFill>
              <w14:schemeClr w14:val="tx1"/>
            </w14:solidFill>
          </w14:textFill>
        </w:rPr>
        <w:fldChar w:fldCharType="separate"/>
      </w:r>
      <w:r>
        <w:rPr>
          <w:rFonts w:ascii="Times New Roman" w:eastAsia="宋体" w:cs="宋体"/>
          <w:color w:val="000000" w:themeColor="text1"/>
          <w14:textFill>
            <w14:solidFill>
              <w14:schemeClr w14:val="tx1"/>
            </w14:solidFill>
          </w14:textFill>
        </w:rPr>
        <w:t xml:space="preserve">一、 </w:t>
      </w:r>
      <w:r>
        <w:rPr>
          <w:rFonts w:hint="eastAsia" w:ascii="宋体" w:hAnsi="宋体" w:eastAsia="宋体" w:cs="宋体"/>
          <w:color w:val="000000" w:themeColor="text1"/>
          <w14:textFill>
            <w14:solidFill>
              <w14:schemeClr w14:val="tx1"/>
            </w14:solidFill>
          </w14:textFill>
        </w:rPr>
        <w:t>项目基本情况</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_Toc6200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2A0FE119">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"_Toc5280" </w:instrText>
      </w:r>
      <w:r>
        <w:rPr>
          <w:color w:val="000000" w:themeColor="text1"/>
          <w14:textFill>
            <w14:solidFill>
              <w14:schemeClr w14:val="tx1"/>
            </w14:solidFill>
          </w14:textFill>
        </w:rPr>
        <w:fldChar w:fldCharType="separate"/>
      </w:r>
      <w:r>
        <w:rPr>
          <w:rFonts w:ascii="Times New Roman" w:eastAsia="宋体" w:cs="宋体"/>
          <w:color w:val="000000" w:themeColor="text1"/>
          <w14:textFill>
            <w14:solidFill>
              <w14:schemeClr w14:val="tx1"/>
            </w14:solidFill>
          </w14:textFill>
        </w:rPr>
        <w:t xml:space="preserve">二、 </w:t>
      </w:r>
      <w:r>
        <w:rPr>
          <w:rFonts w:hint="eastAsia" w:ascii="宋体" w:hAnsi="宋体" w:eastAsia="宋体" w:cs="宋体"/>
          <w:color w:val="000000" w:themeColor="text1"/>
          <w14:textFill>
            <w14:solidFill>
              <w14:schemeClr w14:val="tx1"/>
            </w14:solidFill>
          </w14:textFill>
        </w:rPr>
        <w:t>申请人的资格要求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_Toc5280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72477DB0">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"_Toc26877" </w:instrText>
      </w:r>
      <w:r>
        <w:rPr>
          <w:color w:val="000000" w:themeColor="text1"/>
          <w14:textFill>
            <w14:solidFill>
              <w14:schemeClr w14:val="tx1"/>
            </w14:solidFill>
          </w14:textFill>
        </w:rPr>
        <w:fldChar w:fldCharType="separate"/>
      </w:r>
      <w:r>
        <w:rPr>
          <w:rFonts w:ascii="Times New Roman" w:eastAsia="宋体" w:cs="宋体"/>
          <w:color w:val="000000" w:themeColor="text1"/>
          <w14:textFill>
            <w14:solidFill>
              <w14:schemeClr w14:val="tx1"/>
            </w14:solidFill>
          </w14:textFill>
        </w:rPr>
        <w:t xml:space="preserve">三、 </w:t>
      </w:r>
      <w:r>
        <w:rPr>
          <w:rFonts w:hint="eastAsia" w:ascii="宋体" w:hAnsi="宋体" w:eastAsia="宋体" w:cs="宋体"/>
          <w:color w:val="000000" w:themeColor="text1"/>
          <w14:textFill>
            <w14:solidFill>
              <w14:schemeClr w14:val="tx1"/>
            </w14:solidFill>
          </w14:textFill>
        </w:rPr>
        <w:t>获取磋商文件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_Toc26877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087A43F1">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"_Toc15002" </w:instrText>
      </w:r>
      <w:r>
        <w:rPr>
          <w:color w:val="000000" w:themeColor="text1"/>
          <w14:textFill>
            <w14:solidFill>
              <w14:schemeClr w14:val="tx1"/>
            </w14:solidFill>
          </w14:textFill>
        </w:rPr>
        <w:fldChar w:fldCharType="separate"/>
      </w:r>
      <w:r>
        <w:rPr>
          <w:rFonts w:ascii="Times New Roman" w:eastAsia="宋体" w:cs="宋体"/>
          <w:color w:val="000000" w:themeColor="text1"/>
          <w14:textFill>
            <w14:solidFill>
              <w14:schemeClr w14:val="tx1"/>
            </w14:solidFill>
          </w14:textFill>
        </w:rPr>
        <w:t xml:space="preserve">四、 </w:t>
      </w:r>
      <w:r>
        <w:rPr>
          <w:rFonts w:hint="eastAsia" w:ascii="宋体" w:hAnsi="宋体" w:eastAsia="宋体" w:cs="宋体"/>
          <w:color w:val="000000" w:themeColor="text1"/>
          <w14:textFill>
            <w14:solidFill>
              <w14:schemeClr w14:val="tx1"/>
            </w14:solidFill>
          </w14:textFill>
        </w:rPr>
        <w:t>响应文件提交</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_Toc15002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6AE17627">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"_Toc5976" </w:instrText>
      </w:r>
      <w:r>
        <w:rPr>
          <w:color w:val="000000" w:themeColor="text1"/>
          <w14:textFill>
            <w14:solidFill>
              <w14:schemeClr w14:val="tx1"/>
            </w14:solidFill>
          </w14:textFill>
        </w:rPr>
        <w:fldChar w:fldCharType="separate"/>
      </w:r>
      <w:r>
        <w:rPr>
          <w:rFonts w:ascii="Times New Roman" w:eastAsia="宋体" w:cs="宋体"/>
          <w:color w:val="000000" w:themeColor="text1"/>
          <w14:textFill>
            <w14:solidFill>
              <w14:schemeClr w14:val="tx1"/>
            </w14:solidFill>
          </w14:textFill>
        </w:rPr>
        <w:t xml:space="preserve">五、 </w:t>
      </w:r>
      <w:r>
        <w:rPr>
          <w:rFonts w:hint="eastAsia" w:ascii="宋体" w:hAnsi="宋体" w:eastAsia="宋体" w:cs="宋体"/>
          <w:color w:val="000000" w:themeColor="text1"/>
          <w14:textFill>
            <w14:solidFill>
              <w14:schemeClr w14:val="tx1"/>
            </w14:solidFill>
          </w14:textFill>
        </w:rPr>
        <w:t>开启</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_Toc5976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1D745772">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"_Toc4943" </w:instrText>
      </w:r>
      <w:r>
        <w:rPr>
          <w:color w:val="000000" w:themeColor="text1"/>
          <w14:textFill>
            <w14:solidFill>
              <w14:schemeClr w14:val="tx1"/>
            </w14:solidFill>
          </w14:textFill>
        </w:rPr>
        <w:fldChar w:fldCharType="separate"/>
      </w:r>
      <w:r>
        <w:rPr>
          <w:rFonts w:ascii="Times New Roman" w:eastAsia="宋体" w:cs="宋体"/>
          <w:color w:val="000000" w:themeColor="text1"/>
          <w14:textFill>
            <w14:solidFill>
              <w14:schemeClr w14:val="tx1"/>
            </w14:solidFill>
          </w14:textFill>
        </w:rPr>
        <w:t xml:space="preserve">六、 </w:t>
      </w:r>
      <w:r>
        <w:rPr>
          <w:rFonts w:hint="eastAsia" w:ascii="宋体" w:hAnsi="宋体" w:eastAsia="宋体" w:cs="宋体"/>
          <w:color w:val="000000" w:themeColor="text1"/>
          <w14:textFill>
            <w14:solidFill>
              <w14:schemeClr w14:val="tx1"/>
            </w14:solidFill>
          </w14:textFill>
        </w:rPr>
        <w:t>公告期限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_Toc4943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5BFF1E9D">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"_Toc5126" </w:instrText>
      </w:r>
      <w:r>
        <w:rPr>
          <w:color w:val="000000" w:themeColor="text1"/>
          <w14:textFill>
            <w14:solidFill>
              <w14:schemeClr w14:val="tx1"/>
            </w14:solidFill>
          </w14:textFill>
        </w:rPr>
        <w:fldChar w:fldCharType="separate"/>
      </w:r>
      <w:r>
        <w:rPr>
          <w:rFonts w:ascii="Times New Roman" w:eastAsia="宋体" w:cs="宋体"/>
          <w:color w:val="000000" w:themeColor="text1"/>
          <w14:textFill>
            <w14:solidFill>
              <w14:schemeClr w14:val="tx1"/>
            </w14:solidFill>
          </w14:textFill>
        </w:rPr>
        <w:t xml:space="preserve">七、 </w:t>
      </w:r>
      <w:r>
        <w:rPr>
          <w:rFonts w:hint="eastAsia" w:ascii="宋体" w:hAnsi="宋体" w:eastAsia="宋体" w:cs="宋体"/>
          <w:color w:val="000000" w:themeColor="text1"/>
          <w14:textFill>
            <w14:solidFill>
              <w14:schemeClr w14:val="tx1"/>
            </w14:solidFill>
          </w14:textFill>
        </w:rPr>
        <w:t>其他补充事宜</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_Toc5126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330939F6">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"_Toc29307" </w:instrText>
      </w:r>
      <w:r>
        <w:rPr>
          <w:color w:val="000000" w:themeColor="text1"/>
          <w14:textFill>
            <w14:solidFill>
              <w14:schemeClr w14:val="tx1"/>
            </w14:solidFill>
          </w14:textFill>
        </w:rPr>
        <w:fldChar w:fldCharType="separate"/>
      </w:r>
      <w:r>
        <w:rPr>
          <w:rFonts w:ascii="Times New Roman" w:eastAsia="宋体" w:cs="宋体"/>
          <w:color w:val="000000" w:themeColor="text1"/>
          <w14:textFill>
            <w14:solidFill>
              <w14:schemeClr w14:val="tx1"/>
            </w14:solidFill>
          </w14:textFill>
        </w:rPr>
        <w:t xml:space="preserve">八、 </w:t>
      </w:r>
      <w:r>
        <w:rPr>
          <w:rFonts w:hint="eastAsia" w:ascii="宋体" w:hAnsi="宋体" w:eastAsia="宋体" w:cs="宋体"/>
          <w:color w:val="000000" w:themeColor="text1"/>
          <w14:textFill>
            <w14:solidFill>
              <w14:schemeClr w14:val="tx1"/>
            </w14:solidFill>
          </w14:textFill>
        </w:rPr>
        <w:t>凡对本次采购提出询问，请按以下方式联系</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_Toc29307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4395F87D">
      <w:pPr>
        <w:pStyle w:val="19"/>
        <w:tabs>
          <w:tab w:val="right" w:leader="dot" w:pos="9746"/>
        </w:tabs>
        <w:spacing w:before="0" w:after="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"_Toc14846" </w:instrText>
      </w:r>
      <w:r>
        <w:rPr>
          <w:color w:val="000000" w:themeColor="text1"/>
          <w14:textFill>
            <w14:solidFill>
              <w14:schemeClr w14:val="tx1"/>
            </w14:solidFill>
          </w14:textFill>
        </w:rPr>
        <w:fldChar w:fldCharType="separate"/>
      </w:r>
      <w:r>
        <w:rPr>
          <w:rFonts w:hint="eastAsia" w:eastAsia="宋体"/>
          <w:color w:val="000000" w:themeColor="text1"/>
          <w:szCs w:val="24"/>
          <w14:textFill>
            <w14:solidFill>
              <w14:schemeClr w14:val="tx1"/>
            </w14:solidFill>
          </w14:textFill>
        </w:rPr>
        <w:t>第二章 采购需求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_Toc14846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05824285">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"_Toc27834" </w:instrText>
      </w:r>
      <w:r>
        <w:rPr>
          <w:color w:val="000000" w:themeColor="text1"/>
          <w14:textFill>
            <w14:solidFill>
              <w14:schemeClr w14:val="tx1"/>
            </w14:solidFill>
          </w14:textFill>
        </w:rPr>
        <w:fldChar w:fldCharType="separate"/>
      </w:r>
      <w:r>
        <w:rPr>
          <w:rFonts w:hint="eastAsia" w:ascii="宋体" w:eastAsia="宋体" w:cs="宋体"/>
          <w:bCs/>
          <w:color w:val="000000" w:themeColor="text1"/>
          <w:szCs w:val="21"/>
          <w14:textFill>
            <w14:solidFill>
              <w14:schemeClr w14:val="tx1"/>
            </w14:solidFill>
          </w14:textFill>
        </w:rPr>
        <w:t>一、项目概况</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_Toc27834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02997F80">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"_Toc20672" </w:instrText>
      </w:r>
      <w:r>
        <w:rPr>
          <w:color w:val="000000" w:themeColor="text1"/>
          <w14:textFill>
            <w14:solidFill>
              <w14:schemeClr w14:val="tx1"/>
            </w14:solidFill>
          </w14:textFill>
        </w:rPr>
        <w:fldChar w:fldCharType="separate"/>
      </w:r>
      <w:r>
        <w:rPr>
          <w:rFonts w:hint="eastAsia" w:ascii="宋体" w:eastAsia="宋体" w:cs="宋体"/>
          <w:bCs/>
          <w:color w:val="000000" w:themeColor="text1"/>
          <w:szCs w:val="21"/>
          <w14:textFill>
            <w14:solidFill>
              <w14:schemeClr w14:val="tx1"/>
            </w14:solidFill>
          </w14:textFill>
        </w:rPr>
        <w:t>二、技术要求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_Toc20672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450FA5C5">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"_Toc18791" </w:instrText>
      </w:r>
      <w:r>
        <w:rPr>
          <w:color w:val="000000" w:themeColor="text1"/>
          <w14:textFill>
            <w14:solidFill>
              <w14:schemeClr w14:val="tx1"/>
            </w14:solidFill>
          </w14:textFill>
        </w:rPr>
        <w:fldChar w:fldCharType="separate"/>
      </w:r>
      <w:r>
        <w:rPr>
          <w:rFonts w:hint="eastAsia" w:ascii="宋体" w:eastAsia="宋体" w:cs="宋体"/>
          <w:bCs/>
          <w:color w:val="000000" w:themeColor="text1"/>
          <w:szCs w:val="21"/>
          <w14:textFill>
            <w14:solidFill>
              <w14:schemeClr w14:val="tx1"/>
            </w14:solidFill>
          </w14:textFill>
        </w:rPr>
        <w:t>三、商务要求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_Toc18791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1515B8BB">
      <w:pPr>
        <w:pStyle w:val="19"/>
        <w:tabs>
          <w:tab w:val="right" w:leader="dot" w:pos="9746"/>
        </w:tabs>
        <w:spacing w:before="0" w:after="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"_Toc13457" </w:instrText>
      </w:r>
      <w:r>
        <w:rPr>
          <w:color w:val="000000" w:themeColor="text1"/>
          <w14:textFill>
            <w14:solidFill>
              <w14:schemeClr w14:val="tx1"/>
            </w14:solidFill>
          </w14:textFill>
        </w:rPr>
        <w:fldChar w:fldCharType="separate"/>
      </w:r>
      <w:r>
        <w:rPr>
          <w:rFonts w:hint="eastAsia" w:eastAsia="宋体"/>
          <w:color w:val="000000" w:themeColor="text1"/>
          <w:szCs w:val="24"/>
          <w14:textFill>
            <w14:solidFill>
              <w14:schemeClr w14:val="tx1"/>
            </w14:solidFill>
          </w14:textFill>
        </w:rPr>
        <w:t>第三章 供应商须知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_Toc13457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63E0173A">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"_Toc2854"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1"/>
          <w14:textFill>
            <w14:solidFill>
              <w14:schemeClr w14:val="tx1"/>
            </w14:solidFill>
          </w14:textFill>
        </w:rPr>
        <w:t xml:space="preserve">一、 </w:t>
      </w:r>
      <w:r>
        <w:rPr>
          <w:rFonts w:hint="eastAsia" w:ascii="宋体" w:eastAsia="宋体"/>
          <w:color w:val="000000" w:themeColor="text1"/>
          <w:szCs w:val="21"/>
          <w14:textFill>
            <w14:solidFill>
              <w14:schemeClr w14:val="tx1"/>
            </w14:solidFill>
          </w14:textFill>
        </w:rPr>
        <w:t>名词解释</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_Toc2854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5117D16E">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"_Toc14557"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1"/>
          <w14:textFill>
            <w14:solidFill>
              <w14:schemeClr w14:val="tx1"/>
            </w14:solidFill>
          </w14:textFill>
        </w:rPr>
        <w:t xml:space="preserve">二、 </w:t>
      </w:r>
      <w:r>
        <w:rPr>
          <w:rFonts w:hint="eastAsia" w:ascii="宋体" w:eastAsia="宋体"/>
          <w:color w:val="000000" w:themeColor="text1"/>
          <w:szCs w:val="21"/>
          <w14:textFill>
            <w14:solidFill>
              <w14:schemeClr w14:val="tx1"/>
            </w14:solidFill>
          </w14:textFill>
        </w:rPr>
        <w:t>须知前附表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_Toc14557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282BDFA9">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"_Toc28224"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1"/>
          <w14:textFill>
            <w14:solidFill>
              <w14:schemeClr w14:val="tx1"/>
            </w14:solidFill>
          </w14:textFill>
        </w:rPr>
        <w:t xml:space="preserve">三、 </w:t>
      </w:r>
      <w:r>
        <w:rPr>
          <w:rFonts w:hint="eastAsia" w:ascii="宋体" w:eastAsia="宋体"/>
          <w:color w:val="000000" w:themeColor="text1"/>
          <w:szCs w:val="21"/>
          <w14:textFill>
            <w14:solidFill>
              <w14:schemeClr w14:val="tx1"/>
            </w14:solidFill>
          </w14:textFill>
        </w:rPr>
        <w:t>说明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_Toc28224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5B9DDB2D">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"_Toc22959"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1"/>
          <w14:textFill>
            <w14:solidFill>
              <w14:schemeClr w14:val="tx1"/>
            </w14:solidFill>
          </w14:textFill>
        </w:rPr>
        <w:t xml:space="preserve">四、 </w:t>
      </w:r>
      <w:r>
        <w:rPr>
          <w:rFonts w:hint="eastAsia" w:ascii="宋体" w:eastAsia="宋体"/>
          <w:color w:val="000000" w:themeColor="text1"/>
          <w:szCs w:val="21"/>
          <w14:textFill>
            <w14:solidFill>
              <w14:schemeClr w14:val="tx1"/>
            </w14:solidFill>
          </w14:textFill>
        </w:rPr>
        <w:t>磋商文件的澄清和修改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_Toc22959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448C80BC">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"_Toc24330"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1"/>
          <w14:textFill>
            <w14:solidFill>
              <w14:schemeClr w14:val="tx1"/>
            </w14:solidFill>
          </w14:textFill>
        </w:rPr>
        <w:t xml:space="preserve">五、 </w:t>
      </w:r>
      <w:r>
        <w:rPr>
          <w:rFonts w:hint="eastAsia" w:ascii="宋体" w:eastAsia="宋体"/>
          <w:color w:val="000000" w:themeColor="text1"/>
          <w:szCs w:val="21"/>
          <w14:textFill>
            <w14:solidFill>
              <w14:schemeClr w14:val="tx1"/>
            </w14:solidFill>
          </w14:textFill>
        </w:rPr>
        <w:t>响应要求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_Toc24330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77423758">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"_Toc30896"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1"/>
          <w14:textFill>
            <w14:solidFill>
              <w14:schemeClr w14:val="tx1"/>
            </w14:solidFill>
          </w14:textFill>
        </w:rPr>
        <w:t xml:space="preserve">六、 </w:t>
      </w:r>
      <w:r>
        <w:rPr>
          <w:rFonts w:hint="eastAsia" w:ascii="宋体" w:eastAsia="宋体"/>
          <w:color w:val="000000" w:themeColor="text1"/>
          <w:szCs w:val="21"/>
          <w14:textFill>
            <w14:solidFill>
              <w14:schemeClr w14:val="tx1"/>
            </w14:solidFill>
          </w14:textFill>
        </w:rPr>
        <w:t>磋商、评审和结果确认</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_Toc30896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2E424A05">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"_Toc27788"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1"/>
          <w14:textFill>
            <w14:solidFill>
              <w14:schemeClr w14:val="tx1"/>
            </w14:solidFill>
          </w14:textFill>
        </w:rPr>
        <w:t xml:space="preserve">七、 </w:t>
      </w:r>
      <w:r>
        <w:rPr>
          <w:rFonts w:hint="eastAsia" w:ascii="宋体" w:eastAsia="宋体"/>
          <w:color w:val="000000" w:themeColor="text1"/>
          <w:szCs w:val="21"/>
          <w14:textFill>
            <w14:solidFill>
              <w14:schemeClr w14:val="tx1"/>
            </w14:solidFill>
          </w14:textFill>
        </w:rPr>
        <w:t>询问、质疑与投诉</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_Toc27788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12765D74">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"_Toc21700"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1"/>
          <w14:textFill>
            <w14:solidFill>
              <w14:schemeClr w14:val="tx1"/>
            </w14:solidFill>
          </w14:textFill>
        </w:rPr>
        <w:t xml:space="preserve">八、 </w:t>
      </w:r>
      <w:r>
        <w:rPr>
          <w:rFonts w:hint="eastAsia" w:ascii="宋体" w:eastAsia="宋体"/>
          <w:color w:val="000000" w:themeColor="text1"/>
          <w:szCs w:val="21"/>
          <w14:textFill>
            <w14:solidFill>
              <w14:schemeClr w14:val="tx1"/>
            </w14:solidFill>
          </w14:textFill>
        </w:rPr>
        <w:t>合同签订和履行</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_Toc21700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503AD15F">
      <w:pPr>
        <w:pStyle w:val="19"/>
        <w:tabs>
          <w:tab w:val="right" w:leader="dot" w:pos="9746"/>
        </w:tabs>
        <w:spacing w:before="0" w:after="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"_Toc32292" </w:instrText>
      </w:r>
      <w:r>
        <w:rPr>
          <w:color w:val="000000" w:themeColor="text1"/>
          <w14:textFill>
            <w14:solidFill>
              <w14:schemeClr w14:val="tx1"/>
            </w14:solidFill>
          </w14:textFill>
        </w:rPr>
        <w:fldChar w:fldCharType="separate"/>
      </w:r>
      <w:r>
        <w:rPr>
          <w:rFonts w:hint="eastAsia" w:eastAsia="宋体"/>
          <w:color w:val="000000" w:themeColor="text1"/>
          <w:szCs w:val="24"/>
          <w14:textFill>
            <w14:solidFill>
              <w14:schemeClr w14:val="tx1"/>
            </w14:solidFill>
          </w14:textFill>
        </w:rPr>
        <w:t>第四章 评审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_Toc32292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0C505F5C">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"_Toc5014"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1"/>
          <w14:textFill>
            <w14:solidFill>
              <w14:schemeClr w14:val="tx1"/>
            </w14:solidFill>
          </w14:textFill>
        </w:rPr>
        <w:t xml:space="preserve">一、 </w:t>
      </w:r>
      <w:r>
        <w:rPr>
          <w:rFonts w:hint="eastAsia" w:ascii="宋体" w:eastAsia="宋体"/>
          <w:color w:val="000000" w:themeColor="text1"/>
          <w:szCs w:val="21"/>
          <w14:textFill>
            <w14:solidFill>
              <w14:schemeClr w14:val="tx1"/>
            </w14:solidFill>
          </w14:textFill>
        </w:rPr>
        <w:t>评审要求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_Toc5014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414240FC">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"_Toc14204"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1"/>
          <w14:textFill>
            <w14:solidFill>
              <w14:schemeClr w14:val="tx1"/>
            </w14:solidFill>
          </w14:textFill>
        </w:rPr>
        <w:t xml:space="preserve">二、 </w:t>
      </w:r>
      <w:r>
        <w:rPr>
          <w:rFonts w:hint="eastAsia" w:ascii="宋体" w:eastAsia="宋体"/>
          <w:color w:val="000000" w:themeColor="text1"/>
          <w:szCs w:val="21"/>
          <w14:textFill>
            <w14:solidFill>
              <w14:schemeClr w14:val="tx1"/>
            </w14:solidFill>
          </w14:textFill>
        </w:rPr>
        <w:t>政府采购政策落实</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_Toc14204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201898EB">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"_Toc5192"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1"/>
          <w14:textFill>
            <w14:solidFill>
              <w14:schemeClr w14:val="tx1"/>
            </w14:solidFill>
          </w14:textFill>
        </w:rPr>
        <w:t xml:space="preserve">三、 </w:t>
      </w:r>
      <w:r>
        <w:rPr>
          <w:rFonts w:hint="eastAsia" w:ascii="宋体" w:eastAsia="宋体"/>
          <w:color w:val="000000" w:themeColor="text1"/>
          <w:szCs w:val="21"/>
          <w14:textFill>
            <w14:solidFill>
              <w14:schemeClr w14:val="tx1"/>
            </w14:solidFill>
          </w14:textFill>
        </w:rPr>
        <w:t>评审程序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_Toc5192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5FEAC003">
      <w:pPr>
        <w:pStyle w:val="19"/>
        <w:tabs>
          <w:tab w:val="right" w:leader="dot" w:pos="9746"/>
        </w:tabs>
        <w:spacing w:before="0" w:after="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"_Toc1245" </w:instrText>
      </w:r>
      <w:r>
        <w:rPr>
          <w:color w:val="000000" w:themeColor="text1"/>
          <w14:textFill>
            <w14:solidFill>
              <w14:schemeClr w14:val="tx1"/>
            </w14:solidFill>
          </w14:textFill>
        </w:rPr>
        <w:fldChar w:fldCharType="separate"/>
      </w:r>
      <w:r>
        <w:rPr>
          <w:rFonts w:eastAsia="宋体"/>
          <w:color w:val="000000" w:themeColor="text1"/>
          <w:szCs w:val="24"/>
          <w14:textFill>
            <w14:solidFill>
              <w14:schemeClr w14:val="tx1"/>
            </w14:solidFill>
          </w14:textFill>
        </w:rPr>
        <w:t xml:space="preserve">第五章 </w:t>
      </w:r>
      <w:r>
        <w:rPr>
          <w:rFonts w:hint="eastAsia" w:eastAsia="宋体"/>
          <w:color w:val="000000" w:themeColor="text1"/>
          <w:szCs w:val="24"/>
          <w14:textFill>
            <w14:solidFill>
              <w14:schemeClr w14:val="tx1"/>
            </w14:solidFill>
          </w14:textFill>
        </w:rPr>
        <w:t>合同文本</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_Toc1245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17DB4F0B">
      <w:pPr>
        <w:pStyle w:val="19"/>
        <w:tabs>
          <w:tab w:val="right" w:leader="dot" w:pos="9746"/>
        </w:tabs>
        <w:spacing w:before="0" w:after="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"_Toc15590" </w:instrText>
      </w:r>
      <w:r>
        <w:rPr>
          <w:color w:val="000000" w:themeColor="text1"/>
          <w14:textFill>
            <w14:solidFill>
              <w14:schemeClr w14:val="tx1"/>
            </w14:solidFill>
          </w14:textFill>
        </w:rPr>
        <w:fldChar w:fldCharType="separate"/>
      </w:r>
      <w:r>
        <w:rPr>
          <w:rFonts w:hint="eastAsia" w:eastAsia="宋体"/>
          <w:color w:val="000000" w:themeColor="text1"/>
          <w:szCs w:val="24"/>
          <w14:textFill>
            <w14:solidFill>
              <w14:schemeClr w14:val="tx1"/>
            </w14:solidFill>
          </w14:textFill>
        </w:rPr>
        <w:t>第六章 响应文件格式与要求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_Toc15590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5E16D38F">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"_Toc23393" </w:instrText>
      </w:r>
      <w:r>
        <w:rPr>
          <w:color w:val="000000" w:themeColor="text1"/>
          <w14:textFill>
            <w14:solidFill>
              <w14:schemeClr w14:val="tx1"/>
            </w14:solidFill>
          </w14:textFill>
        </w:rPr>
        <w:fldChar w:fldCharType="separate"/>
      </w:r>
      <w:r>
        <w:rPr>
          <w:rFonts w:hint="eastAsia" w:ascii="宋体" w:eastAsia="宋体"/>
          <w:color w:val="000000" w:themeColor="text1"/>
          <w:szCs w:val="24"/>
          <w14:textFill>
            <w14:solidFill>
              <w14:schemeClr w14:val="tx1"/>
            </w14:solidFill>
          </w14:textFill>
        </w:rPr>
        <w:t>响应文件封面（参考）</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_Toc23393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23F702D9">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"_Toc16473"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格式一： </w:t>
      </w:r>
      <w:r>
        <w:rPr>
          <w:rFonts w:hint="eastAsia" w:ascii="宋体" w:eastAsia="宋体"/>
          <w:color w:val="000000" w:themeColor="text1"/>
          <w:szCs w:val="24"/>
          <w14:textFill>
            <w14:solidFill>
              <w14:schemeClr w14:val="tx1"/>
            </w14:solidFill>
          </w14:textFill>
        </w:rPr>
        <w:t>响应承诺函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_Toc16473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0594B754">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"_Toc2271"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格式二： </w:t>
      </w:r>
      <w:r>
        <w:rPr>
          <w:rFonts w:hint="eastAsia" w:ascii="宋体" w:eastAsia="宋体"/>
          <w:color w:val="000000" w:themeColor="text1"/>
          <w:szCs w:val="24"/>
          <w14:textFill>
            <w14:solidFill>
              <w14:schemeClr w14:val="tx1"/>
            </w14:solidFill>
          </w14:textFill>
        </w:rPr>
        <w:t>首轮报价表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_Toc2271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1F18F407">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"_Toc15053"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格式三： </w:t>
      </w:r>
      <w:r>
        <w:rPr>
          <w:rFonts w:hint="eastAsia" w:ascii="宋体" w:eastAsia="宋体"/>
          <w:color w:val="000000" w:themeColor="text1"/>
          <w:szCs w:val="24"/>
          <w14:textFill>
            <w14:solidFill>
              <w14:schemeClr w14:val="tx1"/>
            </w14:solidFill>
          </w14:textFill>
        </w:rPr>
        <w:t>政策适用性说明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_Toc15053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1AE667C5">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"_Toc4949"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格式四： </w:t>
      </w:r>
      <w:r>
        <w:rPr>
          <w:rFonts w:hint="eastAsia" w:ascii="宋体" w:eastAsia="宋体"/>
          <w:color w:val="000000" w:themeColor="text1"/>
          <w:szCs w:val="24"/>
          <w14:textFill>
            <w14:solidFill>
              <w14:schemeClr w14:val="tx1"/>
            </w14:solidFill>
          </w14:textFill>
        </w:rPr>
        <w:t>法定代表人证明书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_Toc4949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3C5B6344">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"_Toc21813"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格式五： </w:t>
      </w:r>
      <w:r>
        <w:rPr>
          <w:rFonts w:hint="eastAsia" w:ascii="宋体" w:eastAsia="宋体"/>
          <w:color w:val="000000" w:themeColor="text1"/>
          <w:szCs w:val="24"/>
          <w14:textFill>
            <w14:solidFill>
              <w14:schemeClr w14:val="tx1"/>
            </w14:solidFill>
          </w14:textFill>
        </w:rPr>
        <w:t>法定代表人授权书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_Toc21813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2678FCC9">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"_Toc10718"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格式六： </w:t>
      </w:r>
      <w:r>
        <w:rPr>
          <w:rFonts w:hint="eastAsia" w:ascii="宋体" w:eastAsia="宋体"/>
          <w:color w:val="000000" w:themeColor="text1"/>
          <w:szCs w:val="24"/>
          <w14:textFill>
            <w14:solidFill>
              <w14:schemeClr w14:val="tx1"/>
            </w14:solidFill>
          </w14:textFill>
        </w:rPr>
        <w:t>提供具有独立承担民事责任的能力的证明材料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_Toc10718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415C0D8A">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"_Toc9973"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格式七： </w:t>
      </w:r>
      <w:r>
        <w:rPr>
          <w:rFonts w:hint="eastAsia" w:ascii="宋体" w:eastAsia="宋体"/>
          <w:color w:val="000000" w:themeColor="text1"/>
          <w:szCs w:val="24"/>
          <w14:textFill>
            <w14:solidFill>
              <w14:schemeClr w14:val="tx1"/>
            </w14:solidFill>
          </w14:textFill>
        </w:rPr>
        <w:t>资格条件承诺函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_Toc9973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2BCB1D01">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"_Toc31259"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格式八： </w:t>
      </w:r>
      <w:r>
        <w:rPr>
          <w:rFonts w:hint="eastAsia" w:ascii="宋体" w:eastAsia="宋体"/>
          <w:color w:val="000000" w:themeColor="text1"/>
          <w:szCs w:val="24"/>
          <w14:textFill>
            <w14:solidFill>
              <w14:schemeClr w14:val="tx1"/>
            </w14:solidFill>
          </w14:textFill>
        </w:rPr>
        <w:t>其他资格要求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_Toc31259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6E5BE250">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"_Toc3540"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格式九： </w:t>
      </w:r>
      <w:r>
        <w:rPr>
          <w:rFonts w:hint="eastAsia" w:ascii="宋体" w:eastAsia="宋体"/>
          <w:color w:val="000000" w:themeColor="text1"/>
          <w:szCs w:val="24"/>
          <w14:textFill>
            <w14:solidFill>
              <w14:schemeClr w14:val="tx1"/>
            </w14:solidFill>
          </w14:textFill>
        </w:rPr>
        <w:t>中小企业声明函（以下格式文件由供应商根据需要选用，如不适用可删除）</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_Toc3540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762D2355">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"_Toc22362"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格式十： </w:t>
      </w:r>
      <w:r>
        <w:rPr>
          <w:rFonts w:hint="eastAsia" w:ascii="宋体" w:eastAsia="宋体"/>
          <w:color w:val="000000" w:themeColor="text1"/>
          <w:szCs w:val="24"/>
          <w14:textFill>
            <w14:solidFill>
              <w14:schemeClr w14:val="tx1"/>
            </w14:solidFill>
          </w14:textFill>
        </w:rPr>
        <w:t>监狱企业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_Toc22362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01E03244">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"_Toc32225"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格式十一： </w:t>
      </w:r>
      <w:r>
        <w:rPr>
          <w:rFonts w:hint="eastAsia" w:ascii="宋体" w:eastAsia="宋体"/>
          <w:color w:val="000000" w:themeColor="text1"/>
          <w:szCs w:val="24"/>
          <w14:textFill>
            <w14:solidFill>
              <w14:schemeClr w14:val="tx1"/>
            </w14:solidFill>
          </w14:textFill>
        </w:rPr>
        <w:t>残疾人福利性单位声明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_Toc32225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3EA8BF08">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"_Toc28664"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格式十二： </w:t>
      </w:r>
      <w:r>
        <w:rPr>
          <w:rFonts w:hint="eastAsia" w:ascii="宋体" w:eastAsia="宋体"/>
          <w:color w:val="000000" w:themeColor="text1"/>
          <w:szCs w:val="24"/>
          <w14:textFill>
            <w14:solidFill>
              <w14:schemeClr w14:val="tx1"/>
            </w14:solidFill>
          </w14:textFill>
        </w:rPr>
        <w:t>需要采购人提供的附加条件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_Toc28664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18C339E9">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"_Toc524"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格式十三： </w:t>
      </w:r>
      <w:r>
        <w:rPr>
          <w:rFonts w:hint="eastAsia" w:ascii="宋体" w:eastAsia="宋体"/>
          <w:color w:val="000000" w:themeColor="text1"/>
          <w:szCs w:val="24"/>
          <w14:textFill>
            <w14:solidFill>
              <w14:schemeClr w14:val="tx1"/>
            </w14:solidFill>
          </w14:textFill>
        </w:rPr>
        <w:t>商务条款响应表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_Toc524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325DA2B2">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"_Toc18164"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格式十四： </w:t>
      </w:r>
      <w:r>
        <w:rPr>
          <w:rFonts w:hint="eastAsia" w:ascii="宋体" w:eastAsia="宋体"/>
          <w:color w:val="000000" w:themeColor="text1"/>
          <w:szCs w:val="24"/>
          <w14:textFill>
            <w14:solidFill>
              <w14:schemeClr w14:val="tx1"/>
            </w14:solidFill>
          </w14:textFill>
        </w:rPr>
        <w:t>技术条款响应表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_Toc18164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354B60FD">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"_Toc12985"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格式十五： </w:t>
      </w:r>
      <w:r>
        <w:rPr>
          <w:rFonts w:hint="eastAsia" w:ascii="宋体" w:eastAsia="宋体"/>
          <w:color w:val="000000" w:themeColor="text1"/>
          <w:szCs w:val="24"/>
          <w14:textFill>
            <w14:solidFill>
              <w14:schemeClr w14:val="tx1"/>
            </w14:solidFill>
          </w14:textFill>
        </w:rPr>
        <w:t>承诺函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_Toc12985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3063BB9C">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"_Toc10975"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格式十六： </w:t>
      </w:r>
      <w:r>
        <w:rPr>
          <w:rFonts w:hint="eastAsia" w:ascii="宋体" w:eastAsia="宋体"/>
          <w:color w:val="000000" w:themeColor="text1"/>
          <w:szCs w:val="24"/>
          <w14:textFill>
            <w14:solidFill>
              <w14:schemeClr w14:val="tx1"/>
            </w14:solidFill>
          </w14:textFill>
        </w:rPr>
        <w:t>类似项目业绩</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_Toc10975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610584AE">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"_Toc3899"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格式十七： </w:t>
      </w:r>
      <w:r>
        <w:rPr>
          <w:rFonts w:hint="eastAsia" w:ascii="宋体" w:eastAsia="宋体"/>
          <w:color w:val="000000" w:themeColor="text1"/>
          <w:szCs w:val="24"/>
          <w14:textFill>
            <w14:solidFill>
              <w14:schemeClr w14:val="tx1"/>
            </w14:solidFill>
          </w14:textFill>
        </w:rPr>
        <w:t>其他商务和技术评审内容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_Toc3899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5840D2B8">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"_Toc15916"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格式十八： </w:t>
      </w:r>
      <w:r>
        <w:rPr>
          <w:rFonts w:hint="eastAsia" w:ascii="宋体" w:eastAsia="宋体"/>
          <w:color w:val="000000" w:themeColor="text1"/>
          <w:szCs w:val="24"/>
          <w14:textFill>
            <w14:solidFill>
              <w14:schemeClr w14:val="tx1"/>
            </w14:solidFill>
          </w14:textFill>
        </w:rPr>
        <w:t>其它重要事项说明及承诺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_Toc15916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1E742A20">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"_Toc5623"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格式十九： </w:t>
      </w:r>
      <w:r>
        <w:rPr>
          <w:rFonts w:hint="eastAsia" w:ascii="宋体" w:eastAsia="宋体"/>
          <w:color w:val="000000" w:themeColor="text1"/>
          <w:szCs w:val="24"/>
          <w14:textFill>
            <w14:solidFill>
              <w14:schemeClr w14:val="tx1"/>
            </w14:solidFill>
          </w14:textFill>
        </w:rPr>
        <w:t>采购代理服务费支付承诺书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_Toc5623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3F2DA522">
      <w:pPr>
        <w:pStyle w:val="23"/>
        <w:tabs>
          <w:tab w:val="right" w:leader="dot" w:pos="9746"/>
        </w:tabs>
        <w:spacing w:before="0" w:beforeAutospacing="0" w:after="0" w:afterAutospacing="0" w:line="360" w:lineRule="auto"/>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"_Toc14000" </w:instrText>
      </w:r>
      <w:r>
        <w:rPr>
          <w:color w:val="000000" w:themeColor="text1"/>
          <w14:textFill>
            <w14:solidFill>
              <w14:schemeClr w14:val="tx1"/>
            </w14:solidFill>
          </w14:textFill>
        </w:rPr>
        <w:fldChar w:fldCharType="separate"/>
      </w:r>
      <w:r>
        <w:rPr>
          <w:rFonts w:hint="eastAsia" w:ascii="宋体" w:hAnsi="宋体" w:eastAsia="宋体"/>
          <w:color w:val="000000" w:themeColor="text1"/>
          <w:szCs w:val="24"/>
          <w14:textFill>
            <w14:solidFill>
              <w14:schemeClr w14:val="tx1"/>
            </w14:solidFill>
          </w14:textFill>
        </w:rPr>
        <w:t xml:space="preserve">格式二十： </w:t>
      </w:r>
      <w:r>
        <w:rPr>
          <w:rFonts w:hint="eastAsia" w:ascii="宋体" w:eastAsia="宋体"/>
          <w:color w:val="000000" w:themeColor="text1"/>
          <w:szCs w:val="24"/>
          <w14:textFill>
            <w14:solidFill>
              <w14:schemeClr w14:val="tx1"/>
            </w14:solidFill>
          </w14:textFill>
        </w:rPr>
        <w:t>询问函、质疑函、投诉书格式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_Toc14000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6DBBA69B">
      <w:pPr>
        <w:spacing w:before="31" w:beforeLines="10" w:after="31" w:afterLines="10"/>
        <w:rPr>
          <w:color w:val="000000" w:themeColor="text1"/>
          <w14:textFill>
            <w14:solidFill>
              <w14:schemeClr w14:val="tx1"/>
            </w14:solidFill>
          </w14:textFill>
        </w:rPr>
      </w:pPr>
      <w:r>
        <w:rPr>
          <w:rFonts w:hint="eastAsia"/>
          <w:color w:val="000000" w:themeColor="text1"/>
          <w14:textFill>
            <w14:solidFill>
              <w14:schemeClr w14:val="tx1"/>
            </w14:solidFill>
          </w14:textFill>
        </w:rPr>
        <w:fldChar w:fldCharType="end"/>
      </w:r>
    </w:p>
    <w:p w14:paraId="428CFA28">
      <w:pPr>
        <w:pStyle w:val="11"/>
        <w:spacing w:before="31" w:beforeLines="10" w:after="31" w:afterLines="10"/>
        <w:rPr>
          <w:color w:val="000000" w:themeColor="text1"/>
          <w14:textFill>
            <w14:solidFill>
              <w14:schemeClr w14:val="tx1"/>
            </w14:solidFill>
          </w14:textFill>
        </w:rPr>
      </w:pPr>
    </w:p>
    <w:p w14:paraId="6B426B80">
      <w:pPr>
        <w:rPr>
          <w:color w:val="000000" w:themeColor="text1"/>
          <w14:textFill>
            <w14:solidFill>
              <w14:schemeClr w14:val="tx1"/>
            </w14:solidFill>
          </w14:textFill>
        </w:rPr>
        <w:sectPr>
          <w:pgSz w:w="11906" w:h="16838"/>
          <w:pgMar w:top="1440" w:right="1080" w:bottom="1440" w:left="1080" w:header="426" w:footer="992" w:gutter="0"/>
          <w:cols w:space="720" w:num="1"/>
          <w:titlePg/>
          <w:docGrid w:type="lines" w:linePitch="312" w:charSpace="0"/>
        </w:sectPr>
      </w:pPr>
    </w:p>
    <w:p w14:paraId="497B582A">
      <w:pPr>
        <w:pStyle w:val="2"/>
        <w:keepLines w:val="0"/>
        <w:spacing w:before="0" w:after="0" w:line="360" w:lineRule="auto"/>
        <w:rPr>
          <w:rFonts w:eastAsia="宋体"/>
          <w:color w:val="000000" w:themeColor="text1"/>
          <w:sz w:val="24"/>
          <w:szCs w:val="24"/>
          <w14:textFill>
            <w14:solidFill>
              <w14:schemeClr w14:val="tx1"/>
            </w14:solidFill>
          </w14:textFill>
        </w:rPr>
      </w:pPr>
      <w:bookmarkStart w:id="1" w:name="_Toc4625"/>
      <w:bookmarkEnd w:id="1"/>
      <w:bookmarkStart w:id="2" w:name="_Toc30850"/>
      <w:r>
        <w:rPr>
          <w:rFonts w:hint="eastAsia" w:eastAsia="宋体"/>
          <w:color w:val="000000" w:themeColor="text1"/>
          <w:sz w:val="24"/>
          <w:szCs w:val="24"/>
          <w14:textFill>
            <w14:solidFill>
              <w14:schemeClr w14:val="tx1"/>
            </w14:solidFill>
          </w14:textFill>
        </w:rPr>
        <w:t>第一章 磋商邀请</w:t>
      </w:r>
      <w:bookmarkEnd w:id="2"/>
    </w:p>
    <w:p w14:paraId="32CCE398">
      <w:pPr>
        <w:spacing w:line="336" w:lineRule="auto"/>
        <w:ind w:firstLine="422" w:firstLineChars="200"/>
        <w:rPr>
          <w:rFonts w:hint="eastAsia" w:ascii="宋体" w:hAnsi="宋体" w:cs="宋体"/>
          <w:b/>
          <w:bCs/>
          <w:color w:val="000000" w:themeColor="text1"/>
          <w14:textFill>
            <w14:solidFill>
              <w14:schemeClr w14:val="tx1"/>
            </w14:solidFill>
          </w14:textFill>
        </w:rPr>
      </w:pPr>
      <w:bookmarkStart w:id="3" w:name="_Hlk4312558"/>
      <w:bookmarkEnd w:id="3"/>
      <w:r>
        <w:rPr>
          <w:rFonts w:hint="eastAsia" w:ascii="宋体" w:hAnsi="宋体" w:cs="宋体"/>
          <w:b/>
          <w:bCs/>
          <w:color w:val="000000" w:themeColor="text1"/>
          <w14:textFill>
            <w14:solidFill>
              <w14:schemeClr w14:val="tx1"/>
            </w14:solidFill>
          </w14:textFill>
        </w:rPr>
        <w:t>项目概况</w:t>
      </w:r>
    </w:p>
    <w:p w14:paraId="071464D6">
      <w:pPr>
        <w:pStyle w:val="27"/>
        <w:spacing w:before="0" w:beforeAutospacing="0" w:after="0" w:line="336" w:lineRule="auto"/>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kern w:val="0"/>
          <w:u w:val="single"/>
          <w:shd w:val="clear" w:color="auto" w:fill="FFFFFF"/>
          <w14:textFill>
            <w14:solidFill>
              <w14:schemeClr w14:val="tx1"/>
            </w14:solidFill>
          </w14:textFill>
        </w:rPr>
        <w:t>江门海关2026年涉案船舶委托保管服务</w:t>
      </w:r>
      <w:r>
        <w:rPr>
          <w:rFonts w:hint="eastAsia" w:ascii="宋体" w:hAnsi="宋体" w:cs="宋体"/>
          <w:color w:val="000000" w:themeColor="text1"/>
          <w14:textFill>
            <w14:solidFill>
              <w14:schemeClr w14:val="tx1"/>
            </w14:solidFill>
          </w14:textFill>
        </w:rPr>
        <w:t>的潜在供应商应在</w:t>
      </w:r>
      <w:r>
        <w:rPr>
          <w:rFonts w:hint="eastAsia" w:ascii="宋体" w:hAnsi="宋体" w:cs="宋体"/>
          <w:color w:val="000000" w:themeColor="text1"/>
          <w:u w:val="single"/>
          <w14:textFill>
            <w14:solidFill>
              <w14:schemeClr w14:val="tx1"/>
            </w14:solidFill>
          </w14:textFill>
        </w:rPr>
        <w:t>江门市蓬江区海傍街43号江门海关后勤管理中心政府采购部门（5号楼202室）</w:t>
      </w:r>
      <w:r>
        <w:rPr>
          <w:rFonts w:hint="eastAsia" w:ascii="宋体" w:hAnsi="宋体" w:cs="宋体"/>
          <w:color w:val="000000" w:themeColor="text1"/>
          <w14:textFill>
            <w14:solidFill>
              <w14:schemeClr w14:val="tx1"/>
            </w14:solidFill>
          </w14:textFill>
        </w:rPr>
        <w:t>获取磋商文件，并于</w:t>
      </w:r>
      <w:r>
        <w:rPr>
          <w:rFonts w:hint="eastAsia" w:ascii="宋体" w:hAnsi="宋体" w:cs="宋体"/>
          <w:color w:val="000000" w:themeColor="text1"/>
          <w:u w:val="single"/>
          <w14:textFill>
            <w14:solidFill>
              <w14:schemeClr w14:val="tx1"/>
            </w14:solidFill>
          </w14:textFill>
        </w:rPr>
        <w:t>2026年</w:t>
      </w:r>
      <w:r>
        <w:rPr>
          <w:rFonts w:hint="eastAsia" w:ascii="宋体" w:hAnsi="宋体" w:cs="宋体"/>
          <w:color w:val="000000" w:themeColor="text1"/>
          <w:u w:val="single"/>
          <w:lang w:val="en-US" w:eastAsia="zh-CN"/>
          <w14:textFill>
            <w14:solidFill>
              <w14:schemeClr w14:val="tx1"/>
            </w14:solidFill>
          </w14:textFill>
        </w:rPr>
        <w:t>01</w:t>
      </w:r>
      <w:r>
        <w:rPr>
          <w:rFonts w:hint="eastAsia" w:ascii="宋体" w:hAnsi="宋体" w:cs="宋体"/>
          <w:color w:val="000000" w:themeColor="text1"/>
          <w:u w:val="single"/>
          <w14:textFill>
            <w14:solidFill>
              <w14:schemeClr w14:val="tx1"/>
            </w14:solidFill>
          </w14:textFill>
        </w:rPr>
        <w:t>月</w:t>
      </w:r>
      <w:r>
        <w:rPr>
          <w:rFonts w:hint="eastAsia" w:ascii="宋体" w:hAnsi="宋体" w:cs="宋体"/>
          <w:color w:val="000000" w:themeColor="text1"/>
          <w:u w:val="single"/>
          <w:lang w:val="en-US" w:eastAsia="zh-CN"/>
          <w14:textFill>
            <w14:solidFill>
              <w14:schemeClr w14:val="tx1"/>
            </w14:solidFill>
          </w14:textFill>
        </w:rPr>
        <w:t>14</w:t>
      </w:r>
      <w:r>
        <w:rPr>
          <w:rFonts w:hint="eastAsia" w:ascii="宋体" w:hAnsi="宋体" w:cs="宋体"/>
          <w:color w:val="000000" w:themeColor="text1"/>
          <w:u w:val="single"/>
          <w14:textFill>
            <w14:solidFill>
              <w14:schemeClr w14:val="tx1"/>
            </w14:solidFill>
          </w14:textFill>
        </w:rPr>
        <w:t>日09点30分（北京时间）</w:t>
      </w:r>
      <w:r>
        <w:rPr>
          <w:rFonts w:hint="eastAsia" w:ascii="宋体" w:hAnsi="宋体" w:cs="宋体"/>
          <w:color w:val="000000" w:themeColor="text1"/>
          <w14:textFill>
            <w14:solidFill>
              <w14:schemeClr w14:val="tx1"/>
            </w14:solidFill>
          </w14:textFill>
        </w:rPr>
        <w:t>前提交响应文件。</w:t>
      </w:r>
    </w:p>
    <w:p w14:paraId="258E707E">
      <w:pPr>
        <w:numPr>
          <w:ilvl w:val="0"/>
          <w:numId w:val="3"/>
        </w:numPr>
        <w:spacing w:line="336" w:lineRule="auto"/>
        <w:jc w:val="left"/>
        <w:outlineLvl w:val="1"/>
        <w:rPr>
          <w:rFonts w:hint="eastAsia" w:ascii="宋体" w:hAnsi="宋体" w:cs="宋体"/>
          <w:b/>
          <w:color w:val="000000" w:themeColor="text1"/>
          <w14:textFill>
            <w14:solidFill>
              <w14:schemeClr w14:val="tx1"/>
            </w14:solidFill>
          </w14:textFill>
        </w:rPr>
      </w:pPr>
      <w:bookmarkStart w:id="4" w:name="_Toc104040677"/>
      <w:bookmarkEnd w:id="4"/>
      <w:bookmarkStart w:id="5" w:name="_Toc13578"/>
      <w:bookmarkStart w:id="6" w:name="_Toc6200"/>
      <w:r>
        <w:rPr>
          <w:rFonts w:hint="eastAsia" w:ascii="宋体" w:hAnsi="宋体" w:cs="宋体"/>
          <w:b/>
          <w:color w:val="000000" w:themeColor="text1"/>
          <w14:textFill>
            <w14:solidFill>
              <w14:schemeClr w14:val="tx1"/>
            </w14:solidFill>
          </w14:textFill>
        </w:rPr>
        <w:t>项目基本情况</w:t>
      </w:r>
      <w:bookmarkEnd w:id="5"/>
      <w:bookmarkEnd w:id="6"/>
    </w:p>
    <w:p w14:paraId="0F5A2200">
      <w:pPr>
        <w:pStyle w:val="28"/>
        <w:spacing w:before="0" w:beforeAutospacing="0" w:after="0" w:line="336" w:lineRule="auto"/>
        <w:ind w:left="0" w:leftChars="0"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项目编号：2025-055</w:t>
      </w:r>
    </w:p>
    <w:p w14:paraId="780A4AB7">
      <w:pPr>
        <w:pStyle w:val="28"/>
        <w:spacing w:before="0" w:beforeAutospacing="0" w:after="0" w:line="336" w:lineRule="auto"/>
        <w:ind w:left="0" w:leftChars="0"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项目名称：江门海关2026年涉案船舶委托保管服务</w:t>
      </w:r>
    </w:p>
    <w:p w14:paraId="7303317A">
      <w:pPr>
        <w:pStyle w:val="28"/>
        <w:spacing w:before="0" w:beforeAutospacing="0" w:after="0" w:line="336" w:lineRule="auto"/>
        <w:ind w:left="0" w:leftChars="0"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采购方式：竞争性磋商</w:t>
      </w:r>
    </w:p>
    <w:p w14:paraId="543FEFB3">
      <w:pPr>
        <w:pStyle w:val="28"/>
        <w:spacing w:before="0" w:beforeAutospacing="0" w:after="0" w:line="336" w:lineRule="auto"/>
        <w:ind w:left="0" w:leftChars="0"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预算金额：950000.00元</w:t>
      </w:r>
    </w:p>
    <w:p w14:paraId="16EC2288">
      <w:pPr>
        <w:pStyle w:val="28"/>
        <w:spacing w:before="0" w:beforeAutospacing="0" w:after="0" w:line="336" w:lineRule="auto"/>
        <w:ind w:left="0" w:leftChars="0"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采购需求：</w:t>
      </w:r>
    </w:p>
    <w:p w14:paraId="2C66905E">
      <w:pPr>
        <w:pStyle w:val="28"/>
        <w:spacing w:before="0" w:beforeAutospacing="0" w:after="0" w:line="336" w:lineRule="auto"/>
        <w:ind w:left="0" w:leftChars="0"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1.标的名称：江门海关2026年涉案船舶委托保管服务</w:t>
      </w:r>
    </w:p>
    <w:p w14:paraId="3EF878E5">
      <w:pPr>
        <w:pStyle w:val="28"/>
        <w:spacing w:before="0" w:beforeAutospacing="0" w:after="0" w:line="336" w:lineRule="auto"/>
        <w:ind w:left="0" w:leftChars="0"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2.标的数量：1项</w:t>
      </w:r>
    </w:p>
    <w:p w14:paraId="3A385D34">
      <w:pPr>
        <w:pStyle w:val="28"/>
        <w:spacing w:before="0" w:beforeAutospacing="0" w:after="0" w:line="336" w:lineRule="auto"/>
        <w:ind w:left="0" w:leftChars="0"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3.简要技术需求或服务要求：</w:t>
      </w:r>
      <w:r>
        <w:rPr>
          <w:rFonts w:hint="eastAsia" w:ascii="宋体" w:cs="宋体"/>
          <w:color w:val="000000" w:themeColor="text1"/>
          <w:szCs w:val="21"/>
          <w14:textFill>
            <w14:solidFill>
              <w14:schemeClr w14:val="tx1"/>
            </w14:solidFill>
          </w14:textFill>
        </w:rPr>
        <w:t>委托保管的标的物是指采购人委托成交供应商保管的海关涉案财物（船舶），以下简称“涉案财物”。涉案财物的数量（重量）、规格、品名、型号、包装方式、</w:t>
      </w:r>
      <w:r>
        <w:rPr>
          <w:rFonts w:ascii="宋体" w:cs="宋体"/>
          <w:color w:val="000000" w:themeColor="text1"/>
          <w:szCs w:val="21"/>
          <w14:textFill>
            <w14:solidFill>
              <w14:schemeClr w14:val="tx1"/>
            </w14:solidFill>
          </w14:textFill>
        </w:rPr>
        <w:t>货物（物品）</w:t>
      </w:r>
      <w:r>
        <w:rPr>
          <w:rFonts w:hint="eastAsia" w:ascii="宋体" w:cs="宋体"/>
          <w:color w:val="000000" w:themeColor="text1"/>
          <w:szCs w:val="21"/>
          <w14:textFill>
            <w14:solidFill>
              <w14:schemeClr w14:val="tx1"/>
            </w14:solidFill>
          </w14:textFill>
        </w:rPr>
        <w:t>瑕疵等情况，以《海关涉案财物入库清单》载明的内容为准。</w:t>
      </w:r>
      <w:r>
        <w:rPr>
          <w:rFonts w:hint="eastAsia" w:ascii="宋体" w:hAnsi="宋体" w:cs="宋体"/>
          <w:color w:val="000000" w:themeColor="text1"/>
          <w14:textFill>
            <w14:solidFill>
              <w14:schemeClr w14:val="tx1"/>
            </w14:solidFill>
          </w14:textFill>
        </w:rPr>
        <w:t>详细要求详见采购需求。</w:t>
      </w:r>
    </w:p>
    <w:p w14:paraId="78C14BA3">
      <w:pPr>
        <w:pStyle w:val="28"/>
        <w:spacing w:before="0" w:beforeAutospacing="0" w:after="0" w:line="336" w:lineRule="auto"/>
        <w:ind w:left="0" w:leftChars="0"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4.合同履行期限：自2026年3月1日至2026年12月31日止，服务期为10个月。（以“采购金额累计达到采购预算”或“服务期限”到期，两者先到者合同结束）</w:t>
      </w:r>
    </w:p>
    <w:p w14:paraId="72CD71E7">
      <w:pPr>
        <w:numPr>
          <w:ilvl w:val="0"/>
          <w:numId w:val="3"/>
        </w:numPr>
        <w:spacing w:line="336" w:lineRule="auto"/>
        <w:jc w:val="left"/>
        <w:outlineLvl w:val="1"/>
        <w:rPr>
          <w:rFonts w:hint="eastAsia" w:ascii="宋体" w:hAnsi="宋体" w:cs="宋体"/>
          <w:b/>
          <w:color w:val="000000" w:themeColor="text1"/>
          <w14:textFill>
            <w14:solidFill>
              <w14:schemeClr w14:val="tx1"/>
            </w14:solidFill>
          </w14:textFill>
        </w:rPr>
      </w:pPr>
      <w:bookmarkStart w:id="7" w:name="_Toc104040678"/>
      <w:bookmarkEnd w:id="7"/>
      <w:bookmarkStart w:id="8" w:name="_Toc5280"/>
      <w:bookmarkStart w:id="9" w:name="_Toc21106"/>
      <w:r>
        <w:rPr>
          <w:rFonts w:hint="eastAsia" w:ascii="宋体" w:hAnsi="宋体" w:cs="宋体"/>
          <w:b/>
          <w:color w:val="000000" w:themeColor="text1"/>
          <w14:textFill>
            <w14:solidFill>
              <w14:schemeClr w14:val="tx1"/>
            </w14:solidFill>
          </w14:textFill>
        </w:rPr>
        <w:t>申请人的资格要求</w:t>
      </w:r>
      <w:bookmarkEnd w:id="8"/>
      <w:bookmarkEnd w:id="9"/>
    </w:p>
    <w:p w14:paraId="63E95C3E">
      <w:pPr>
        <w:spacing w:line="336" w:lineRule="auto"/>
        <w:ind w:firstLine="422" w:firstLineChars="200"/>
        <w:rPr>
          <w:rFonts w:hint="eastAsia"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1.满足《中华人民共和国政府采购法》第二十二条规定，提供下列材料：</w:t>
      </w:r>
    </w:p>
    <w:p w14:paraId="0C13CF7F">
      <w:pPr>
        <w:numPr>
          <w:ilvl w:val="0"/>
          <w:numId w:val="4"/>
        </w:numPr>
        <w:spacing w:line="336" w:lineRule="auto"/>
        <w:ind w:left="0"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具有独立承担民事责任的能力：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p w14:paraId="665C2DBC">
      <w:pPr>
        <w:numPr>
          <w:ilvl w:val="0"/>
          <w:numId w:val="4"/>
        </w:numPr>
        <w:spacing w:line="336" w:lineRule="auto"/>
        <w:ind w:left="0"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有依法缴纳税收和社会保障资金的良好记录：①提供2025年6月至响应截止时间内任意1个月的依法缴纳税收的证明文件，如依法免税的，应提供相应文件证明其依法免税；②提供2025年6月至响应截止时间内任意1个月的依法缴纳社会保险的证明文件，如依法不需要缴纳社会保障资金的，应提供相应文件证明其依法不需要缴纳社会保障资金。</w:t>
      </w:r>
    </w:p>
    <w:p w14:paraId="0E001688">
      <w:pPr>
        <w:numPr>
          <w:ilvl w:val="0"/>
          <w:numId w:val="4"/>
        </w:numPr>
        <w:spacing w:line="336" w:lineRule="auto"/>
        <w:ind w:left="0"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具有良好的商业信誉和健全的财务会计制度：提供以下①或②证明材料：①经会计师事务所审计的2024年度财务状况报告；②同时提供a.基本开户行出具的资信证明，b.《基本存款账号信息》或《开户许可证》）。</w:t>
      </w:r>
    </w:p>
    <w:p w14:paraId="3EC1D48A">
      <w:pPr>
        <w:numPr>
          <w:ilvl w:val="0"/>
          <w:numId w:val="4"/>
        </w:numPr>
        <w:spacing w:line="336" w:lineRule="auto"/>
        <w:ind w:left="0"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履行合同所必需的设备和专业技术能力：响应文件中须提供《资格条件承诺函》，并按格式要求响应。</w:t>
      </w:r>
    </w:p>
    <w:p w14:paraId="4096DAA5">
      <w:pPr>
        <w:numPr>
          <w:ilvl w:val="0"/>
          <w:numId w:val="4"/>
        </w:numPr>
        <w:spacing w:line="336" w:lineRule="auto"/>
        <w:ind w:left="0"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参加采购活动前3年内，在经营活动中没有重大违法记录：响应文件中须提供《资格条件承诺函》，并按格式要求响应。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AB6BFE1">
      <w:pPr>
        <w:numPr>
          <w:ilvl w:val="0"/>
          <w:numId w:val="4"/>
        </w:numPr>
        <w:spacing w:line="336" w:lineRule="auto"/>
        <w:ind w:left="0"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具备法律、行政法规规定的其他条件。响应文件中须提供《资格条件承诺函》，并按格式要求响应。</w:t>
      </w:r>
    </w:p>
    <w:p w14:paraId="55283D95">
      <w:pPr>
        <w:spacing w:line="336" w:lineRule="auto"/>
        <w:ind w:firstLine="422" w:firstLineChars="200"/>
        <w:rPr>
          <w:rFonts w:hint="eastAsia"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2.落实政府采购政策需满足的资格要求：</w:t>
      </w:r>
    </w:p>
    <w:p w14:paraId="2C6806A5">
      <w:pPr>
        <w:pStyle w:val="11"/>
        <w:spacing w:line="336" w:lineRule="auto"/>
        <w:ind w:firstLine="420" w:firstLineChars="200"/>
        <w:rPr>
          <w:rFonts w:hint="eastAsia" w:ascii="宋体" w:hAnsi="宋体" w:cs="宋体"/>
          <w:color w:val="000000" w:themeColor="text1"/>
          <w14:textFill>
            <w14:solidFill>
              <w14:schemeClr w14:val="tx1"/>
            </w14:solidFill>
          </w14:textFill>
        </w:rPr>
      </w:pPr>
      <w:r>
        <w:rPr>
          <w:rStyle w:val="36"/>
          <w:rFonts w:hint="eastAsia" w:ascii="宋体" w:hAnsi="宋体" w:cs="宋体"/>
          <w:color w:val="000000" w:themeColor="text1"/>
          <w14:textFill>
            <w14:solidFill>
              <w14:schemeClr w14:val="tx1"/>
            </w14:solidFill>
          </w14:textFill>
        </w:rPr>
        <w:t>本项目不属于专门面向中小企业采购的项目。</w:t>
      </w:r>
    </w:p>
    <w:p w14:paraId="1746684C">
      <w:pPr>
        <w:shd w:val="clear" w:color="auto" w:fill="FFFFFF"/>
        <w:spacing w:line="336" w:lineRule="auto"/>
        <w:ind w:firstLine="422" w:firstLineChars="200"/>
        <w:jc w:val="left"/>
        <w:rPr>
          <w:rFonts w:hint="eastAsia" w:ascii="宋体" w:hAnsi="宋体" w:cs="宋体"/>
          <w:b/>
          <w:bCs/>
          <w:color w:val="000000" w:themeColor="text1"/>
          <w:shd w:val="clear" w:color="auto" w:fill="FFFFFF"/>
          <w14:textFill>
            <w14:solidFill>
              <w14:schemeClr w14:val="tx1"/>
            </w14:solidFill>
          </w14:textFill>
        </w:rPr>
      </w:pPr>
      <w:r>
        <w:rPr>
          <w:rFonts w:hint="eastAsia" w:ascii="宋体" w:hAnsi="宋体" w:cs="宋体"/>
          <w:b/>
          <w:bCs/>
          <w:color w:val="000000" w:themeColor="text1"/>
          <w:shd w:val="clear" w:color="auto" w:fill="FFFFFF"/>
          <w14:textFill>
            <w14:solidFill>
              <w14:schemeClr w14:val="tx1"/>
            </w14:solidFill>
          </w14:textFill>
        </w:rPr>
        <w:t>3.本项目的特定资格要求：</w:t>
      </w:r>
    </w:p>
    <w:p w14:paraId="08EF500E">
      <w:pPr>
        <w:shd w:val="clear" w:color="auto" w:fill="FFFFFF"/>
        <w:tabs>
          <w:tab w:val="left" w:pos="0"/>
        </w:tabs>
        <w:spacing w:line="336" w:lineRule="auto"/>
        <w:ind w:firstLine="336"/>
        <w:jc w:val="left"/>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单位负责人为同一人或者存在直接控股、管理关系的不同供应商，不得同时参加本采购项目响应。为本项目提供整体设计、规范编制或者项目管理、监理、检测等服务的供应商，不得再参与本项目响应。在《响应承诺函》中进行相关申明。</w:t>
      </w:r>
    </w:p>
    <w:p w14:paraId="52FC537F">
      <w:pPr>
        <w:shd w:val="clear" w:color="auto" w:fill="FFFFFF"/>
        <w:tabs>
          <w:tab w:val="left" w:pos="0"/>
        </w:tabs>
        <w:spacing w:line="336" w:lineRule="auto"/>
        <w:ind w:firstLine="336"/>
        <w:jc w:val="left"/>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供应商未被列入“信用中国”网站（www.creditchina.gov.cn）“失信被执行人名单或重大税收违法案件当事人名单（即‘重大税收违法失信主体’）或政府采购严重违法失信行为记录名单”中；不处于“中国政府采购网”（www.ccgp.gov.cn）“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p w14:paraId="04BF8697">
      <w:pPr>
        <w:shd w:val="clear" w:color="auto" w:fill="FFFFFF"/>
        <w:tabs>
          <w:tab w:val="left" w:pos="0"/>
        </w:tabs>
        <w:spacing w:line="336" w:lineRule="auto"/>
        <w:ind w:firstLine="336"/>
        <w:jc w:val="left"/>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（3）本项目不接受联合体响应。</w:t>
      </w:r>
    </w:p>
    <w:p w14:paraId="47DB432C">
      <w:pPr>
        <w:numPr>
          <w:ilvl w:val="0"/>
          <w:numId w:val="3"/>
        </w:numPr>
        <w:spacing w:line="336" w:lineRule="auto"/>
        <w:jc w:val="left"/>
        <w:outlineLvl w:val="1"/>
        <w:rPr>
          <w:rFonts w:hint="eastAsia" w:ascii="宋体" w:hAnsi="宋体" w:cs="宋体"/>
          <w:b/>
          <w:color w:val="000000" w:themeColor="text1"/>
          <w14:textFill>
            <w14:solidFill>
              <w14:schemeClr w14:val="tx1"/>
            </w14:solidFill>
          </w14:textFill>
        </w:rPr>
      </w:pPr>
      <w:bookmarkStart w:id="10" w:name="_Toc104040679"/>
      <w:bookmarkEnd w:id="10"/>
      <w:bookmarkStart w:id="11" w:name="_Toc109"/>
      <w:bookmarkStart w:id="12" w:name="_Toc26877"/>
      <w:r>
        <w:rPr>
          <w:rFonts w:hint="eastAsia" w:ascii="宋体" w:hAnsi="宋体" w:cs="宋体"/>
          <w:b/>
          <w:color w:val="000000" w:themeColor="text1"/>
          <w14:textFill>
            <w14:solidFill>
              <w14:schemeClr w14:val="tx1"/>
            </w14:solidFill>
          </w14:textFill>
        </w:rPr>
        <w:t>获取</w:t>
      </w:r>
      <w:bookmarkEnd w:id="11"/>
      <w:r>
        <w:rPr>
          <w:rFonts w:hint="eastAsia" w:ascii="宋体" w:hAnsi="宋体" w:cs="宋体"/>
          <w:b/>
          <w:color w:val="000000" w:themeColor="text1"/>
          <w14:textFill>
            <w14:solidFill>
              <w14:schemeClr w14:val="tx1"/>
            </w14:solidFill>
          </w14:textFill>
        </w:rPr>
        <w:t>磋商文件</w:t>
      </w:r>
      <w:bookmarkEnd w:id="12"/>
    </w:p>
    <w:p w14:paraId="392CFFFC">
      <w:pPr>
        <w:spacing w:line="336" w:lineRule="auto"/>
        <w:ind w:firstLine="428" w:firstLineChars="200"/>
        <w:rPr>
          <w:rFonts w:hint="eastAsia" w:ascii="宋体" w:hAnsi="宋体" w:cs="宋体"/>
          <w:color w:val="000000" w:themeColor="text1"/>
          <w:spacing w:val="2"/>
          <w14:textFill>
            <w14:solidFill>
              <w14:schemeClr w14:val="tx1"/>
            </w14:solidFill>
          </w14:textFill>
        </w:rPr>
      </w:pPr>
      <w:r>
        <w:rPr>
          <w:rFonts w:hint="eastAsia" w:ascii="宋体" w:hAnsi="宋体" w:cs="宋体"/>
          <w:color w:val="000000" w:themeColor="text1"/>
          <w:spacing w:val="2"/>
          <w14:textFill>
            <w14:solidFill>
              <w14:schemeClr w14:val="tx1"/>
            </w14:solidFill>
          </w14:textFill>
        </w:rPr>
        <w:t>时间：2025年</w:t>
      </w:r>
      <w:r>
        <w:rPr>
          <w:rFonts w:hint="eastAsia" w:ascii="宋体" w:hAnsi="宋体" w:cs="宋体"/>
          <w:color w:val="000000" w:themeColor="text1"/>
          <w:spacing w:val="2"/>
          <w:lang w:val="en-US" w:eastAsia="zh-CN"/>
          <w14:textFill>
            <w14:solidFill>
              <w14:schemeClr w14:val="tx1"/>
            </w14:solidFill>
          </w14:textFill>
        </w:rPr>
        <w:t>12</w:t>
      </w:r>
      <w:r>
        <w:rPr>
          <w:rFonts w:hint="eastAsia" w:ascii="宋体" w:hAnsi="宋体" w:cs="宋体"/>
          <w:color w:val="000000" w:themeColor="text1"/>
          <w:spacing w:val="2"/>
          <w14:textFill>
            <w14:solidFill>
              <w14:schemeClr w14:val="tx1"/>
            </w14:solidFill>
          </w14:textFill>
        </w:rPr>
        <w:t>月</w:t>
      </w:r>
      <w:r>
        <w:rPr>
          <w:rFonts w:hint="eastAsia" w:ascii="宋体" w:hAnsi="宋体" w:cs="宋体"/>
          <w:color w:val="000000" w:themeColor="text1"/>
          <w:spacing w:val="2"/>
          <w:lang w:val="en-US" w:eastAsia="zh-CN"/>
          <w14:textFill>
            <w14:solidFill>
              <w14:schemeClr w14:val="tx1"/>
            </w14:solidFill>
          </w14:textFill>
        </w:rPr>
        <w:t>31</w:t>
      </w:r>
      <w:r>
        <w:rPr>
          <w:rFonts w:hint="eastAsia" w:ascii="宋体" w:hAnsi="宋体" w:cs="宋体"/>
          <w:color w:val="000000" w:themeColor="text1"/>
          <w:spacing w:val="2"/>
          <w14:textFill>
            <w14:solidFill>
              <w14:schemeClr w14:val="tx1"/>
            </w14:solidFill>
          </w14:textFill>
        </w:rPr>
        <w:t>日起至202</w:t>
      </w:r>
      <w:r>
        <w:rPr>
          <w:rFonts w:hint="eastAsia" w:ascii="宋体" w:hAnsi="宋体" w:cs="宋体"/>
          <w:color w:val="000000" w:themeColor="text1"/>
          <w:spacing w:val="2"/>
          <w:lang w:val="en-US" w:eastAsia="zh-CN"/>
          <w14:textFill>
            <w14:solidFill>
              <w14:schemeClr w14:val="tx1"/>
            </w14:solidFill>
          </w14:textFill>
        </w:rPr>
        <w:t>6</w:t>
      </w:r>
      <w:r>
        <w:rPr>
          <w:rFonts w:hint="eastAsia" w:ascii="宋体" w:hAnsi="宋体" w:cs="宋体"/>
          <w:color w:val="000000" w:themeColor="text1"/>
          <w:spacing w:val="2"/>
          <w14:textFill>
            <w14:solidFill>
              <w14:schemeClr w14:val="tx1"/>
            </w14:solidFill>
          </w14:textFill>
        </w:rPr>
        <w:t>年</w:t>
      </w:r>
      <w:r>
        <w:rPr>
          <w:rFonts w:hint="eastAsia" w:ascii="宋体" w:hAnsi="宋体" w:cs="宋体"/>
          <w:color w:val="000000" w:themeColor="text1"/>
          <w:spacing w:val="2"/>
          <w:lang w:val="en-US" w:eastAsia="zh-CN"/>
          <w14:textFill>
            <w14:solidFill>
              <w14:schemeClr w14:val="tx1"/>
            </w14:solidFill>
          </w14:textFill>
        </w:rPr>
        <w:t>01</w:t>
      </w:r>
      <w:r>
        <w:rPr>
          <w:rFonts w:hint="eastAsia" w:ascii="宋体" w:hAnsi="宋体" w:cs="宋体"/>
          <w:color w:val="000000" w:themeColor="text1"/>
          <w:spacing w:val="2"/>
          <w14:textFill>
            <w14:solidFill>
              <w14:schemeClr w14:val="tx1"/>
            </w14:solidFill>
          </w14:textFill>
        </w:rPr>
        <w:t>月</w:t>
      </w:r>
      <w:r>
        <w:rPr>
          <w:rFonts w:hint="eastAsia" w:ascii="宋体" w:hAnsi="宋体" w:cs="宋体"/>
          <w:color w:val="000000" w:themeColor="text1"/>
          <w:spacing w:val="2"/>
          <w:lang w:val="en-US" w:eastAsia="zh-CN"/>
          <w14:textFill>
            <w14:solidFill>
              <w14:schemeClr w14:val="tx1"/>
            </w14:solidFill>
          </w14:textFill>
        </w:rPr>
        <w:t>06</w:t>
      </w:r>
      <w:r>
        <w:rPr>
          <w:rFonts w:hint="eastAsia" w:ascii="宋体" w:hAnsi="宋体" w:cs="宋体"/>
          <w:color w:val="000000" w:themeColor="text1"/>
          <w:spacing w:val="2"/>
          <w14:textFill>
            <w14:solidFill>
              <w14:schemeClr w14:val="tx1"/>
            </w14:solidFill>
          </w14:textFill>
        </w:rPr>
        <w:t>日，每天上午9：00至11：30，下午14：30至17：00（北京时间，法定节假日除外）</w:t>
      </w:r>
    </w:p>
    <w:p w14:paraId="331D13EE">
      <w:pPr>
        <w:spacing w:line="336" w:lineRule="auto"/>
        <w:ind w:firstLine="428" w:firstLineChars="200"/>
        <w:rPr>
          <w:rFonts w:hint="eastAsia" w:ascii="宋体" w:hAnsi="宋体" w:cs="宋体"/>
          <w:color w:val="000000" w:themeColor="text1"/>
          <w:spacing w:val="2"/>
          <w14:textFill>
            <w14:solidFill>
              <w14:schemeClr w14:val="tx1"/>
            </w14:solidFill>
          </w14:textFill>
        </w:rPr>
      </w:pPr>
      <w:r>
        <w:rPr>
          <w:rFonts w:hint="eastAsia" w:ascii="宋体" w:hAnsi="宋体" w:cs="宋体"/>
          <w:color w:val="000000" w:themeColor="text1"/>
          <w:spacing w:val="2"/>
          <w14:textFill>
            <w14:solidFill>
              <w14:schemeClr w14:val="tx1"/>
            </w14:solidFill>
          </w14:textFill>
        </w:rPr>
        <w:t>地点：江门市蓬江区海傍街43号江门海关后勤管理中心政府采购部门（5号楼202室）</w:t>
      </w:r>
    </w:p>
    <w:p w14:paraId="1EC9BFBA">
      <w:pPr>
        <w:spacing w:line="336" w:lineRule="auto"/>
        <w:ind w:firstLine="428" w:firstLineChars="200"/>
        <w:rPr>
          <w:rFonts w:hint="eastAsia" w:ascii="宋体" w:hAnsi="宋体" w:cs="宋体"/>
          <w:color w:val="000000" w:themeColor="text1"/>
          <w:spacing w:val="2"/>
          <w14:textFill>
            <w14:solidFill>
              <w14:schemeClr w14:val="tx1"/>
            </w14:solidFill>
          </w14:textFill>
        </w:rPr>
      </w:pPr>
      <w:r>
        <w:rPr>
          <w:rFonts w:hint="eastAsia" w:ascii="宋体" w:hAnsi="宋体" w:cs="宋体"/>
          <w:color w:val="000000" w:themeColor="text1"/>
          <w:spacing w:val="2"/>
          <w14:textFill>
            <w14:solidFill>
              <w14:schemeClr w14:val="tx1"/>
            </w14:solidFill>
          </w14:textFill>
        </w:rPr>
        <w:t>申请人报名时需提供以下相关资料：</w:t>
      </w:r>
    </w:p>
    <w:p w14:paraId="7947A650">
      <w:pPr>
        <w:spacing w:line="336" w:lineRule="auto"/>
        <w:ind w:firstLine="428" w:firstLineChars="200"/>
        <w:rPr>
          <w:rFonts w:hint="eastAsia" w:ascii="宋体" w:hAnsi="宋体" w:cs="宋体"/>
          <w:color w:val="000000" w:themeColor="text1"/>
          <w:spacing w:val="2"/>
          <w14:textFill>
            <w14:solidFill>
              <w14:schemeClr w14:val="tx1"/>
            </w14:solidFill>
          </w14:textFill>
        </w:rPr>
      </w:pPr>
      <w:r>
        <w:rPr>
          <w:rFonts w:hint="eastAsia" w:ascii="宋体" w:hAnsi="宋体" w:cs="宋体"/>
          <w:color w:val="000000" w:themeColor="text1"/>
          <w:spacing w:val="2"/>
          <w14:textFill>
            <w14:solidFill>
              <w14:schemeClr w14:val="tx1"/>
            </w14:solidFill>
          </w14:textFill>
        </w:rPr>
        <w:t>1.营业执照（副本）；</w:t>
      </w:r>
    </w:p>
    <w:p w14:paraId="25947023">
      <w:pPr>
        <w:spacing w:line="336" w:lineRule="auto"/>
        <w:ind w:firstLine="428" w:firstLineChars="200"/>
        <w:rPr>
          <w:rFonts w:hint="eastAsia" w:ascii="宋体" w:hAnsi="宋体" w:cs="宋体"/>
          <w:color w:val="000000" w:themeColor="text1"/>
          <w:spacing w:val="2"/>
          <w14:textFill>
            <w14:solidFill>
              <w14:schemeClr w14:val="tx1"/>
            </w14:solidFill>
          </w14:textFill>
        </w:rPr>
      </w:pPr>
      <w:r>
        <w:rPr>
          <w:rFonts w:hint="eastAsia" w:ascii="宋体" w:hAnsi="宋体" w:cs="宋体"/>
          <w:color w:val="000000" w:themeColor="text1"/>
          <w:spacing w:val="2"/>
          <w14:textFill>
            <w14:solidFill>
              <w14:schemeClr w14:val="tx1"/>
            </w14:solidFill>
          </w14:textFill>
        </w:rPr>
        <w:t>2.法定代表人身份证明书和法定代表人身份证或者法定代表人授权委托书及被授权人身份证。</w:t>
      </w:r>
    </w:p>
    <w:p w14:paraId="35BDFEFE">
      <w:pPr>
        <w:spacing w:line="336" w:lineRule="auto"/>
        <w:ind w:firstLine="428" w:firstLineChars="200"/>
        <w:rPr>
          <w:rFonts w:hint="eastAsia" w:ascii="宋体" w:hAnsi="宋体" w:cs="宋体"/>
          <w:color w:val="000000" w:themeColor="text1"/>
          <w:spacing w:val="2"/>
          <w14:textFill>
            <w14:solidFill>
              <w14:schemeClr w14:val="tx1"/>
            </w14:solidFill>
          </w14:textFill>
        </w:rPr>
      </w:pPr>
      <w:r>
        <w:rPr>
          <w:rFonts w:hint="eastAsia" w:ascii="宋体" w:hAnsi="宋体" w:cs="宋体"/>
          <w:color w:val="000000" w:themeColor="text1"/>
          <w:spacing w:val="2"/>
          <w14:textFill>
            <w14:solidFill>
              <w14:schemeClr w14:val="tx1"/>
            </w14:solidFill>
          </w14:textFill>
        </w:rPr>
        <w:t>注：供应商报名可以以电子邮件形式报名获取磋商文件(电子邮箱号码：xuyunzhi@customs.gov.cn)，邮件内请写明联系人，联系人电话号码，并请电话确认(0750-7352634)。</w:t>
      </w:r>
    </w:p>
    <w:p w14:paraId="28DB1B05">
      <w:pPr>
        <w:spacing w:line="336" w:lineRule="auto"/>
        <w:ind w:firstLine="428" w:firstLineChars="200"/>
        <w:rPr>
          <w:rFonts w:hint="eastAsia" w:ascii="宋体" w:hAnsi="宋体" w:cs="宋体"/>
          <w:color w:val="000000" w:themeColor="text1"/>
          <w:spacing w:val="2"/>
          <w14:textFill>
            <w14:solidFill>
              <w14:schemeClr w14:val="tx1"/>
            </w14:solidFill>
          </w14:textFill>
        </w:rPr>
      </w:pPr>
      <w:r>
        <w:rPr>
          <w:rFonts w:hint="eastAsia" w:ascii="宋体" w:hAnsi="宋体" w:cs="宋体"/>
          <w:color w:val="000000" w:themeColor="text1"/>
          <w:spacing w:val="2"/>
          <w14:textFill>
            <w14:solidFill>
              <w14:schemeClr w14:val="tx1"/>
            </w14:solidFill>
          </w14:textFill>
        </w:rPr>
        <w:t>方式：电子邮箱</w:t>
      </w:r>
    </w:p>
    <w:p w14:paraId="2B2EB1CB">
      <w:pPr>
        <w:spacing w:line="336" w:lineRule="auto"/>
        <w:ind w:firstLine="428" w:firstLineChars="200"/>
        <w:rPr>
          <w:rFonts w:hint="eastAsia" w:ascii="宋体" w:hAnsi="宋体" w:cs="宋体"/>
          <w:color w:val="000000" w:themeColor="text1"/>
          <w:spacing w:val="2"/>
          <w14:textFill>
            <w14:solidFill>
              <w14:schemeClr w14:val="tx1"/>
            </w14:solidFill>
          </w14:textFill>
        </w:rPr>
      </w:pPr>
      <w:r>
        <w:rPr>
          <w:rFonts w:hint="eastAsia" w:ascii="宋体" w:hAnsi="宋体" w:cs="宋体"/>
          <w:color w:val="000000" w:themeColor="text1"/>
          <w:spacing w:val="2"/>
          <w14:textFill>
            <w14:solidFill>
              <w14:schemeClr w14:val="tx1"/>
            </w14:solidFill>
          </w14:textFill>
        </w:rPr>
        <w:t>售价：免费提供</w:t>
      </w:r>
    </w:p>
    <w:p w14:paraId="75ADBE8D">
      <w:pPr>
        <w:numPr>
          <w:ilvl w:val="0"/>
          <w:numId w:val="3"/>
        </w:numPr>
        <w:spacing w:line="336" w:lineRule="auto"/>
        <w:jc w:val="left"/>
        <w:outlineLvl w:val="1"/>
        <w:rPr>
          <w:rFonts w:hint="eastAsia" w:ascii="宋体" w:hAnsi="宋体" w:cs="宋体"/>
          <w:b/>
          <w:color w:val="000000" w:themeColor="text1"/>
          <w14:textFill>
            <w14:solidFill>
              <w14:schemeClr w14:val="tx1"/>
            </w14:solidFill>
          </w14:textFill>
        </w:rPr>
      </w:pPr>
      <w:bookmarkStart w:id="13" w:name="_Toc22613"/>
      <w:bookmarkEnd w:id="13"/>
      <w:bookmarkStart w:id="14" w:name="_Toc104040680"/>
      <w:bookmarkEnd w:id="14"/>
      <w:bookmarkStart w:id="15" w:name="_Hlk114001339"/>
      <w:bookmarkStart w:id="16" w:name="_Toc15002"/>
      <w:r>
        <w:rPr>
          <w:rFonts w:hint="eastAsia" w:ascii="宋体" w:hAnsi="宋体" w:cs="宋体"/>
          <w:b/>
          <w:color w:val="000000" w:themeColor="text1"/>
          <w14:textFill>
            <w14:solidFill>
              <w14:schemeClr w14:val="tx1"/>
            </w14:solidFill>
          </w14:textFill>
        </w:rPr>
        <w:t>响应文件提交</w:t>
      </w:r>
      <w:bookmarkEnd w:id="15"/>
      <w:bookmarkEnd w:id="16"/>
    </w:p>
    <w:p w14:paraId="087CA1AD">
      <w:pPr>
        <w:spacing w:line="336" w:lineRule="auto"/>
        <w:ind w:firstLine="480"/>
        <w:rPr>
          <w:rFonts w:hint="eastAsia" w:ascii="宋体" w:hAnsi="宋体" w:cs="宋体"/>
          <w:color w:val="000000" w:themeColor="text1"/>
          <w:kern w:val="28"/>
          <w14:textFill>
            <w14:solidFill>
              <w14:schemeClr w14:val="tx1"/>
            </w14:solidFill>
          </w14:textFill>
        </w:rPr>
      </w:pPr>
      <w:r>
        <w:rPr>
          <w:rFonts w:hint="eastAsia" w:ascii="宋体" w:hAnsi="宋体" w:cs="宋体"/>
          <w:color w:val="000000" w:themeColor="text1"/>
          <w:kern w:val="28"/>
          <w14:textFill>
            <w14:solidFill>
              <w14:schemeClr w14:val="tx1"/>
            </w14:solidFill>
          </w14:textFill>
        </w:rPr>
        <w:t>截止时间：2026年01月14日09时30分（北京时间）</w:t>
      </w:r>
    </w:p>
    <w:p w14:paraId="0EDD2187">
      <w:pPr>
        <w:spacing w:line="336" w:lineRule="auto"/>
        <w:ind w:firstLine="480"/>
        <w:rPr>
          <w:rFonts w:hint="eastAsia" w:ascii="宋体" w:hAnsi="宋体" w:cs="宋体"/>
          <w:color w:val="000000" w:themeColor="text1"/>
          <w:kern w:val="28"/>
          <w14:textFill>
            <w14:solidFill>
              <w14:schemeClr w14:val="tx1"/>
            </w14:solidFill>
          </w14:textFill>
        </w:rPr>
      </w:pPr>
      <w:r>
        <w:rPr>
          <w:rFonts w:hint="eastAsia" w:ascii="宋体" w:hAnsi="宋体" w:cs="宋体"/>
          <w:color w:val="000000" w:themeColor="text1"/>
          <w:kern w:val="28"/>
          <w14:textFill>
            <w14:solidFill>
              <w14:schemeClr w14:val="tx1"/>
            </w14:solidFill>
          </w14:textFill>
        </w:rPr>
        <w:t>地点：江门市蓬江区海傍街43号江门海关后勤管理中心政府采购部门（5号楼201室）</w:t>
      </w:r>
    </w:p>
    <w:p w14:paraId="63E791E4">
      <w:pPr>
        <w:numPr>
          <w:ilvl w:val="0"/>
          <w:numId w:val="3"/>
        </w:numPr>
        <w:spacing w:line="336" w:lineRule="auto"/>
        <w:jc w:val="left"/>
        <w:outlineLvl w:val="1"/>
        <w:rPr>
          <w:rFonts w:hint="eastAsia" w:ascii="宋体" w:hAnsi="宋体" w:cs="宋体"/>
          <w:b/>
          <w:color w:val="000000" w:themeColor="text1"/>
          <w14:textFill>
            <w14:solidFill>
              <w14:schemeClr w14:val="tx1"/>
            </w14:solidFill>
          </w14:textFill>
        </w:rPr>
      </w:pPr>
      <w:bookmarkStart w:id="17" w:name="_Toc3522"/>
      <w:bookmarkEnd w:id="17"/>
      <w:bookmarkStart w:id="18" w:name="_Toc104040681"/>
      <w:bookmarkStart w:id="19" w:name="_Toc5976"/>
      <w:r>
        <w:rPr>
          <w:rFonts w:hint="eastAsia" w:ascii="宋体" w:hAnsi="宋体" w:cs="宋体"/>
          <w:b/>
          <w:color w:val="000000" w:themeColor="text1"/>
          <w14:textFill>
            <w14:solidFill>
              <w14:schemeClr w14:val="tx1"/>
            </w14:solidFill>
          </w14:textFill>
        </w:rPr>
        <w:t>开启</w:t>
      </w:r>
      <w:bookmarkEnd w:id="18"/>
      <w:bookmarkEnd w:id="19"/>
    </w:p>
    <w:p w14:paraId="7F9E5D86">
      <w:pPr>
        <w:spacing w:line="336" w:lineRule="auto"/>
        <w:ind w:firstLine="480"/>
        <w:rPr>
          <w:rFonts w:hint="eastAsia" w:ascii="宋体" w:hAnsi="宋体" w:cs="宋体"/>
          <w:color w:val="000000" w:themeColor="text1"/>
          <w:kern w:val="28"/>
          <w14:textFill>
            <w14:solidFill>
              <w14:schemeClr w14:val="tx1"/>
            </w14:solidFill>
          </w14:textFill>
        </w:rPr>
      </w:pPr>
      <w:r>
        <w:rPr>
          <w:rFonts w:hint="eastAsia" w:ascii="宋体" w:hAnsi="宋体" w:cs="宋体"/>
          <w:color w:val="000000" w:themeColor="text1"/>
          <w:kern w:val="28"/>
          <w14:textFill>
            <w14:solidFill>
              <w14:schemeClr w14:val="tx1"/>
            </w14:solidFill>
          </w14:textFill>
        </w:rPr>
        <w:t>时间：2026年01月14日09时30分（北京时间）</w:t>
      </w:r>
    </w:p>
    <w:p w14:paraId="52634EB0">
      <w:pPr>
        <w:spacing w:line="336" w:lineRule="auto"/>
        <w:ind w:firstLine="48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kern w:val="28"/>
          <w14:textFill>
            <w14:solidFill>
              <w14:schemeClr w14:val="tx1"/>
            </w14:solidFill>
          </w14:textFill>
        </w:rPr>
        <w:t>地点：江门市蓬江区海傍街43号江门海关后勤管理中心政府采购部门（5号楼201室）</w:t>
      </w:r>
    </w:p>
    <w:p w14:paraId="38335FA6">
      <w:pPr>
        <w:numPr>
          <w:ilvl w:val="0"/>
          <w:numId w:val="3"/>
        </w:numPr>
        <w:spacing w:line="336" w:lineRule="auto"/>
        <w:jc w:val="left"/>
        <w:outlineLvl w:val="1"/>
        <w:rPr>
          <w:rFonts w:hint="eastAsia" w:ascii="宋体" w:hAnsi="宋体" w:cs="宋体"/>
          <w:b/>
          <w:color w:val="000000" w:themeColor="text1"/>
          <w14:textFill>
            <w14:solidFill>
              <w14:schemeClr w14:val="tx1"/>
            </w14:solidFill>
          </w14:textFill>
        </w:rPr>
      </w:pPr>
      <w:bookmarkStart w:id="20" w:name="_Toc19964"/>
      <w:bookmarkEnd w:id="20"/>
      <w:bookmarkStart w:id="21" w:name="_Toc104040682"/>
      <w:bookmarkStart w:id="22" w:name="_Toc4943"/>
      <w:r>
        <w:rPr>
          <w:rFonts w:hint="eastAsia" w:ascii="宋体" w:hAnsi="宋体" w:cs="宋体"/>
          <w:b/>
          <w:color w:val="000000" w:themeColor="text1"/>
          <w14:textFill>
            <w14:solidFill>
              <w14:schemeClr w14:val="tx1"/>
            </w14:solidFill>
          </w14:textFill>
        </w:rPr>
        <w:t>公告期限</w:t>
      </w:r>
      <w:bookmarkEnd w:id="21"/>
      <w:bookmarkEnd w:id="22"/>
    </w:p>
    <w:p w14:paraId="4A824B81">
      <w:pPr>
        <w:spacing w:line="336" w:lineRule="auto"/>
        <w:ind w:firstLine="480"/>
        <w:rPr>
          <w:rFonts w:hint="eastAsia" w:ascii="宋体" w:hAnsi="宋体" w:cs="宋体"/>
          <w:color w:val="000000" w:themeColor="text1"/>
          <w:kern w:val="28"/>
          <w14:textFill>
            <w14:solidFill>
              <w14:schemeClr w14:val="tx1"/>
            </w14:solidFill>
          </w14:textFill>
        </w:rPr>
      </w:pPr>
      <w:r>
        <w:rPr>
          <w:rFonts w:hint="eastAsia" w:ascii="宋体" w:hAnsi="宋体" w:cs="宋体"/>
          <w:color w:val="000000" w:themeColor="text1"/>
          <w:kern w:val="28"/>
          <w14:textFill>
            <w14:solidFill>
              <w14:schemeClr w14:val="tx1"/>
            </w14:solidFill>
          </w14:textFill>
        </w:rPr>
        <w:t>自本公告发布之日起3个工作日。</w:t>
      </w:r>
    </w:p>
    <w:p w14:paraId="71792999">
      <w:pPr>
        <w:numPr>
          <w:ilvl w:val="0"/>
          <w:numId w:val="3"/>
        </w:numPr>
        <w:spacing w:line="336" w:lineRule="auto"/>
        <w:jc w:val="left"/>
        <w:outlineLvl w:val="1"/>
        <w:rPr>
          <w:rFonts w:hint="eastAsia" w:ascii="宋体" w:hAnsi="宋体" w:cs="宋体"/>
          <w:b/>
          <w:color w:val="000000" w:themeColor="text1"/>
          <w14:textFill>
            <w14:solidFill>
              <w14:schemeClr w14:val="tx1"/>
            </w14:solidFill>
          </w14:textFill>
        </w:rPr>
      </w:pPr>
      <w:bookmarkStart w:id="23" w:name="_Toc25596"/>
      <w:bookmarkEnd w:id="23"/>
      <w:bookmarkStart w:id="24" w:name="_Toc104040683"/>
      <w:bookmarkStart w:id="25" w:name="_Toc5126"/>
      <w:r>
        <w:rPr>
          <w:rFonts w:hint="eastAsia" w:ascii="宋体" w:hAnsi="宋体" w:cs="宋体"/>
          <w:b/>
          <w:color w:val="000000" w:themeColor="text1"/>
          <w14:textFill>
            <w14:solidFill>
              <w14:schemeClr w14:val="tx1"/>
            </w14:solidFill>
          </w14:textFill>
        </w:rPr>
        <w:t>其他补充事宜</w:t>
      </w:r>
      <w:bookmarkEnd w:id="24"/>
      <w:bookmarkEnd w:id="25"/>
    </w:p>
    <w:p w14:paraId="35E6CD1D">
      <w:pPr>
        <w:numPr>
          <w:ilvl w:val="0"/>
          <w:numId w:val="5"/>
        </w:numPr>
        <w:adjustRightInd w:val="0"/>
        <w:snapToGrid w:val="0"/>
        <w:spacing w:line="336" w:lineRule="auto"/>
        <w:ind w:firstLine="490"/>
        <w:rPr>
          <w:rFonts w:hint="eastAsia" w:ascii="宋体" w:hAnsi="宋体" w:cs="宋体"/>
          <w:color w:val="000000" w:themeColor="text1"/>
          <w14:textFill>
            <w14:solidFill>
              <w14:schemeClr w14:val="tx1"/>
            </w14:solidFill>
          </w14:textFill>
        </w:rPr>
      </w:pPr>
      <w:bookmarkStart w:id="26" w:name="_Hlk4312634"/>
      <w:bookmarkEnd w:id="26"/>
      <w:r>
        <w:rPr>
          <w:rFonts w:hint="eastAsia" w:ascii="宋体" w:hAnsi="宋体" w:cs="宋体"/>
          <w:color w:val="000000" w:themeColor="text1"/>
          <w14:textFill>
            <w14:solidFill>
              <w14:schemeClr w14:val="tx1"/>
            </w14:solidFill>
          </w14:textFill>
        </w:rPr>
        <w:t>进入总关大院时需配合海关大门保安人员完成身份信息登记。</w:t>
      </w:r>
    </w:p>
    <w:p w14:paraId="047565C8">
      <w:pPr>
        <w:numPr>
          <w:ilvl w:val="0"/>
          <w:numId w:val="5"/>
        </w:numPr>
        <w:adjustRightInd w:val="0"/>
        <w:snapToGrid w:val="0"/>
        <w:spacing w:line="336" w:lineRule="auto"/>
        <w:ind w:firstLine="49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资格要求中所指“其他组织”不包括法人的分支机构，由于法人分支机构不能独立承担民事责任，不能以分支机构的身份参加政府采购，只能以法人身份参加。但由于银行、保险、石油石化、电力、电信、邮政、铁路等行业具有其特殊性，如果能够提供其法人给予的相应授权证明材料，可以参加本采购活动。</w:t>
      </w:r>
    </w:p>
    <w:p w14:paraId="59716AD9">
      <w:pPr>
        <w:numPr>
          <w:ilvl w:val="0"/>
          <w:numId w:val="3"/>
        </w:numPr>
        <w:spacing w:line="336" w:lineRule="auto"/>
        <w:jc w:val="left"/>
        <w:outlineLvl w:val="1"/>
        <w:rPr>
          <w:rFonts w:hint="eastAsia" w:ascii="宋体" w:hAnsi="宋体" w:cs="宋体"/>
          <w:b/>
          <w:color w:val="000000" w:themeColor="text1"/>
          <w14:textFill>
            <w14:solidFill>
              <w14:schemeClr w14:val="tx1"/>
            </w14:solidFill>
          </w14:textFill>
        </w:rPr>
      </w:pPr>
      <w:bookmarkStart w:id="27" w:name="_Toc30046"/>
      <w:bookmarkEnd w:id="27"/>
      <w:bookmarkStart w:id="28" w:name="_Toc29307"/>
      <w:bookmarkStart w:id="29" w:name="_Toc104040684"/>
      <w:r>
        <w:rPr>
          <w:rFonts w:hint="eastAsia" w:ascii="宋体" w:hAnsi="宋体" w:cs="宋体"/>
          <w:b/>
          <w:color w:val="000000" w:themeColor="text1"/>
          <w14:textFill>
            <w14:solidFill>
              <w14:schemeClr w14:val="tx1"/>
            </w14:solidFill>
          </w14:textFill>
        </w:rPr>
        <w:t>凡对本次采购提出询问，请按以下方式联系</w:t>
      </w:r>
      <w:bookmarkEnd w:id="28"/>
      <w:bookmarkEnd w:id="29"/>
    </w:p>
    <w:p w14:paraId="65C62959">
      <w:pPr>
        <w:spacing w:line="336" w:lineRule="auto"/>
        <w:ind w:firstLine="422" w:firstLineChars="200"/>
        <w:rPr>
          <w:rFonts w:hint="eastAsia"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1.采购人信息</w:t>
      </w:r>
    </w:p>
    <w:p w14:paraId="53A55FDF">
      <w:pPr>
        <w:pStyle w:val="27"/>
        <w:spacing w:before="0" w:beforeAutospacing="0" w:after="0" w:line="336" w:lineRule="auto"/>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名    称：中华人民共和国江门海关后勤管理中心</w:t>
      </w:r>
    </w:p>
    <w:p w14:paraId="62CD4CB0">
      <w:pPr>
        <w:pStyle w:val="27"/>
        <w:spacing w:before="0" w:beforeAutospacing="0" w:after="0" w:line="336" w:lineRule="auto"/>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地    址：江门海关后勤管理中心政府采购部门（5号楼202室）</w:t>
      </w:r>
    </w:p>
    <w:p w14:paraId="7C046BB1">
      <w:pPr>
        <w:pStyle w:val="27"/>
        <w:spacing w:before="0" w:beforeAutospacing="0" w:after="0" w:line="336" w:lineRule="auto"/>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联系方式：徐先生，0750-7352697</w:t>
      </w:r>
    </w:p>
    <w:p w14:paraId="4E038B9F">
      <w:pPr>
        <w:spacing w:line="336" w:lineRule="auto"/>
        <w:ind w:firstLine="422" w:firstLineChars="200"/>
        <w:rPr>
          <w:rFonts w:hint="eastAsia"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2.采购代理机构信息</w:t>
      </w:r>
    </w:p>
    <w:p w14:paraId="366379CF">
      <w:pPr>
        <w:pStyle w:val="27"/>
        <w:spacing w:before="0" w:beforeAutospacing="0" w:after="0" w:line="336" w:lineRule="auto"/>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名    称：公诚管理咨询有限公司</w:t>
      </w:r>
    </w:p>
    <w:p w14:paraId="10E1193F">
      <w:pPr>
        <w:pStyle w:val="27"/>
        <w:spacing w:before="0" w:beforeAutospacing="0" w:after="0" w:line="336" w:lineRule="auto"/>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地    址：江门市蓬江区篁庄大道10号火炬高新技术创业园3号楼808室</w:t>
      </w:r>
    </w:p>
    <w:p w14:paraId="7BD30044">
      <w:pPr>
        <w:pStyle w:val="27"/>
        <w:spacing w:before="0" w:beforeAutospacing="0" w:after="0" w:line="336" w:lineRule="auto"/>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联系方式：0750-3881516</w:t>
      </w:r>
    </w:p>
    <w:p w14:paraId="20A5A8CE">
      <w:pPr>
        <w:spacing w:line="336" w:lineRule="auto"/>
        <w:ind w:firstLine="422" w:firstLineChars="200"/>
        <w:rPr>
          <w:rFonts w:hint="eastAsia"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3.项目联系方式</w:t>
      </w:r>
    </w:p>
    <w:p w14:paraId="27D34A6B">
      <w:pPr>
        <w:pStyle w:val="27"/>
        <w:spacing w:before="0" w:beforeAutospacing="0" w:after="0" w:line="336" w:lineRule="auto"/>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项目联系人：熊嘉欣、张鹏、刘海新</w:t>
      </w:r>
    </w:p>
    <w:p w14:paraId="529B488B">
      <w:pPr>
        <w:pStyle w:val="27"/>
        <w:spacing w:before="0" w:beforeAutospacing="0" w:after="0" w:line="336" w:lineRule="auto"/>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电    话：0750-3881516</w:t>
      </w:r>
    </w:p>
    <w:p w14:paraId="44415BF9">
      <w:pPr>
        <w:adjustRightInd w:val="0"/>
        <w:snapToGrid w:val="0"/>
        <w:spacing w:line="336" w:lineRule="auto"/>
        <w:ind w:right="-51" w:firstLine="2730" w:firstLineChars="1300"/>
        <w:jc w:val="right"/>
        <w:rPr>
          <w:rFonts w:hint="eastAsia" w:ascii="宋体" w:hAnsi="宋体" w:cs="宋体"/>
          <w:bCs/>
          <w:color w:val="000000" w:themeColor="text1"/>
          <w14:textFill>
            <w14:solidFill>
              <w14:schemeClr w14:val="tx1"/>
            </w14:solidFill>
          </w14:textFill>
        </w:rPr>
      </w:pPr>
    </w:p>
    <w:p w14:paraId="1510341F">
      <w:pPr>
        <w:adjustRightInd w:val="0"/>
        <w:snapToGrid w:val="0"/>
        <w:spacing w:line="336" w:lineRule="auto"/>
        <w:ind w:right="-51" w:firstLine="2730" w:firstLineChars="1300"/>
        <w:jc w:val="right"/>
        <w:rPr>
          <w:rFonts w:hint="eastAsia" w:ascii="宋体" w:hAnsi="宋体" w:cs="宋体"/>
          <w:bCs/>
          <w:color w:val="000000" w:themeColor="text1"/>
          <w14:textFill>
            <w14:solidFill>
              <w14:schemeClr w14:val="tx1"/>
            </w14:solidFill>
          </w14:textFill>
        </w:rPr>
      </w:pPr>
      <w:r>
        <w:rPr>
          <w:rFonts w:hint="eastAsia" w:ascii="宋体" w:hAnsi="宋体" w:cs="宋体"/>
          <w:bCs/>
          <w:color w:val="000000" w:themeColor="text1"/>
          <w14:textFill>
            <w14:solidFill>
              <w14:schemeClr w14:val="tx1"/>
            </w14:solidFill>
          </w14:textFill>
        </w:rPr>
        <w:t>公诚管理咨询有限公司</w:t>
      </w:r>
    </w:p>
    <w:p w14:paraId="1B517288">
      <w:pPr>
        <w:spacing w:line="336" w:lineRule="auto"/>
        <w:jc w:val="right"/>
        <w:rPr>
          <w:color w:val="000000" w:themeColor="text1"/>
          <w:sz w:val="28"/>
          <w:szCs w:val="28"/>
          <w14:textFill>
            <w14:solidFill>
              <w14:schemeClr w14:val="tx1"/>
            </w14:solidFill>
          </w14:textFill>
        </w:rPr>
      </w:pPr>
      <w:bookmarkStart w:id="30" w:name="_Toc35342045"/>
      <w:bookmarkEnd w:id="30"/>
      <w:r>
        <w:rPr>
          <w:rFonts w:hint="eastAsia" w:ascii="宋体" w:hAnsi="宋体" w:cs="宋体"/>
          <w:color w:val="000000" w:themeColor="text1"/>
          <w:spacing w:val="2"/>
          <w14:textFill>
            <w14:solidFill>
              <w14:schemeClr w14:val="tx1"/>
            </w14:solidFill>
          </w14:textFill>
        </w:rPr>
        <w:t>2025年</w:t>
      </w:r>
      <w:r>
        <w:rPr>
          <w:rFonts w:hint="eastAsia" w:ascii="宋体" w:hAnsi="宋体" w:cs="宋体"/>
          <w:color w:val="000000" w:themeColor="text1"/>
          <w:spacing w:val="2"/>
          <w:lang w:val="en-US" w:eastAsia="zh-CN"/>
          <w14:textFill>
            <w14:solidFill>
              <w14:schemeClr w14:val="tx1"/>
            </w14:solidFill>
          </w14:textFill>
        </w:rPr>
        <w:t>12</w:t>
      </w:r>
      <w:r>
        <w:rPr>
          <w:rFonts w:hint="eastAsia" w:ascii="宋体" w:hAnsi="宋体" w:cs="宋体"/>
          <w:color w:val="000000" w:themeColor="text1"/>
          <w:spacing w:val="2"/>
          <w14:textFill>
            <w14:solidFill>
              <w14:schemeClr w14:val="tx1"/>
            </w14:solidFill>
          </w14:textFill>
        </w:rPr>
        <w:t>月</w:t>
      </w:r>
      <w:r>
        <w:rPr>
          <w:rFonts w:hint="eastAsia" w:ascii="宋体" w:hAnsi="宋体" w:cs="宋体"/>
          <w:color w:val="000000" w:themeColor="text1"/>
          <w:spacing w:val="2"/>
          <w:lang w:val="en-US" w:eastAsia="zh-CN"/>
          <w14:textFill>
            <w14:solidFill>
              <w14:schemeClr w14:val="tx1"/>
            </w14:solidFill>
          </w14:textFill>
        </w:rPr>
        <w:t>31</w:t>
      </w:r>
      <w:r>
        <w:rPr>
          <w:rFonts w:hint="eastAsia" w:ascii="宋体" w:hAnsi="宋体" w:cs="宋体"/>
          <w:color w:val="000000" w:themeColor="text1"/>
          <w:spacing w:val="2"/>
          <w14:textFill>
            <w14:solidFill>
              <w14:schemeClr w14:val="tx1"/>
            </w14:solidFill>
          </w14:textFill>
        </w:rPr>
        <w:t>日</w:t>
      </w:r>
      <w:r>
        <w:rPr>
          <w:rFonts w:hint="eastAsia"/>
          <w:color w:val="000000" w:themeColor="text1"/>
          <w14:textFill>
            <w14:solidFill>
              <w14:schemeClr w14:val="tx1"/>
            </w14:solidFill>
          </w14:textFill>
        </w:rPr>
        <w:br w:type="page"/>
      </w:r>
    </w:p>
    <w:p w14:paraId="555D642A">
      <w:pPr>
        <w:pStyle w:val="2"/>
        <w:keepLines w:val="0"/>
        <w:spacing w:before="0" w:after="0" w:line="360" w:lineRule="auto"/>
        <w:rPr>
          <w:rFonts w:eastAsia="宋体"/>
          <w:color w:val="000000" w:themeColor="text1"/>
          <w:sz w:val="24"/>
          <w:szCs w:val="24"/>
          <w14:textFill>
            <w14:solidFill>
              <w14:schemeClr w14:val="tx1"/>
            </w14:solidFill>
          </w14:textFill>
        </w:rPr>
      </w:pPr>
      <w:bookmarkStart w:id="31" w:name="_Toc193"/>
      <w:bookmarkEnd w:id="31"/>
      <w:bookmarkStart w:id="32" w:name="_Toc103033202"/>
      <w:bookmarkEnd w:id="32"/>
      <w:bookmarkStart w:id="33" w:name="_Toc103216634"/>
      <w:bookmarkEnd w:id="33"/>
      <w:bookmarkStart w:id="34" w:name="_Toc104040685"/>
      <w:bookmarkEnd w:id="34"/>
      <w:bookmarkStart w:id="35" w:name="_Toc101122290"/>
      <w:bookmarkEnd w:id="35"/>
      <w:bookmarkStart w:id="36" w:name="_Hlk103194593"/>
      <w:bookmarkStart w:id="37" w:name="_Toc14846"/>
      <w:r>
        <w:rPr>
          <w:rFonts w:hint="eastAsia" w:eastAsia="宋体"/>
          <w:color w:val="000000" w:themeColor="text1"/>
          <w:sz w:val="24"/>
          <w:szCs w:val="24"/>
          <w14:textFill>
            <w14:solidFill>
              <w14:schemeClr w14:val="tx1"/>
            </w14:solidFill>
          </w14:textFill>
        </w:rPr>
        <w:t>第二章</w:t>
      </w:r>
      <w:bookmarkEnd w:id="36"/>
      <w:r>
        <w:rPr>
          <w:rFonts w:hint="eastAsia" w:eastAsia="宋体"/>
          <w:color w:val="000000" w:themeColor="text1"/>
          <w:sz w:val="24"/>
          <w:szCs w:val="24"/>
          <w14:textFill>
            <w14:solidFill>
              <w14:schemeClr w14:val="tx1"/>
            </w14:solidFill>
          </w14:textFill>
        </w:rPr>
        <w:t xml:space="preserve"> 采购需求</w:t>
      </w:r>
      <w:bookmarkEnd w:id="37"/>
    </w:p>
    <w:p w14:paraId="4FFBD890">
      <w:pPr>
        <w:pStyle w:val="28"/>
        <w:spacing w:after="0" w:line="360" w:lineRule="auto"/>
        <w:ind w:left="0" w:leftChars="0" w:firstLine="0" w:firstLineChars="0"/>
        <w:rPr>
          <w:rFonts w:ascii="宋体" w:cs="宋体"/>
          <w:b/>
          <w:bCs/>
          <w:color w:val="000000" w:themeColor="text1"/>
          <w:szCs w:val="21"/>
          <w14:textFill>
            <w14:solidFill>
              <w14:schemeClr w14:val="tx1"/>
            </w14:solidFill>
          </w14:textFill>
        </w:rPr>
      </w:pPr>
      <w:bookmarkStart w:id="38" w:name="_Hlk112005103"/>
      <w:bookmarkEnd w:id="38"/>
      <w:r>
        <w:rPr>
          <w:rFonts w:hint="eastAsia" w:ascii="宋体" w:cs="宋体"/>
          <w:b/>
          <w:bCs/>
          <w:color w:val="000000" w:themeColor="text1"/>
          <w:szCs w:val="21"/>
          <w14:textFill>
            <w14:solidFill>
              <w14:schemeClr w14:val="tx1"/>
            </w14:solidFill>
          </w14:textFill>
        </w:rPr>
        <w:t>说明：</w:t>
      </w:r>
    </w:p>
    <w:p w14:paraId="15E35936">
      <w:pPr>
        <w:pStyle w:val="28"/>
        <w:spacing w:before="0" w:beforeAutospacing="0" w:after="0" w:line="360"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1.供应商须对本项目的采购标的进行整体响应，任何只对采购标的其中一部分内容或数量进行响应的，将作无效投标（响应）处理。</w:t>
      </w:r>
    </w:p>
    <w:p w14:paraId="1E300D1B">
      <w:pPr>
        <w:pStyle w:val="28"/>
        <w:spacing w:before="0" w:beforeAutospacing="0" w:after="0" w:line="360" w:lineRule="auto"/>
        <w:ind w:left="0" w:leftChars="0" w:firstLine="420"/>
        <w:rPr>
          <w:rFonts w:ascii="宋体" w:cs="宋体"/>
          <w:color w:val="000000" w:themeColor="text1"/>
          <w:szCs w:val="21"/>
          <w14:textFill>
            <w14:solidFill>
              <w14:schemeClr w14:val="tx1"/>
            </w14:solidFill>
          </w14:textFill>
        </w:rPr>
      </w:pPr>
    </w:p>
    <w:p w14:paraId="4AAA145A">
      <w:pPr>
        <w:outlineLvl w:val="1"/>
        <w:rPr>
          <w:rFonts w:ascii="宋体" w:cs="宋体"/>
          <w:b/>
          <w:bCs/>
          <w:color w:val="000000" w:themeColor="text1"/>
          <w:szCs w:val="21"/>
          <w14:textFill>
            <w14:solidFill>
              <w14:schemeClr w14:val="tx1"/>
            </w14:solidFill>
          </w14:textFill>
        </w:rPr>
      </w:pPr>
      <w:bookmarkStart w:id="39" w:name="_Toc104040686"/>
      <w:bookmarkEnd w:id="39"/>
      <w:bookmarkStart w:id="40" w:name="_Toc9862"/>
      <w:bookmarkEnd w:id="40"/>
      <w:bookmarkStart w:id="41" w:name="_Toc13042"/>
      <w:bookmarkEnd w:id="41"/>
      <w:bookmarkStart w:id="42" w:name="_Toc104160554"/>
      <w:bookmarkEnd w:id="42"/>
      <w:bookmarkStart w:id="43" w:name="_Toc27834"/>
      <w:r>
        <w:rPr>
          <w:rFonts w:hint="eastAsia" w:ascii="宋体" w:cs="宋体"/>
          <w:b/>
          <w:bCs/>
          <w:color w:val="000000" w:themeColor="text1"/>
          <w:szCs w:val="21"/>
          <w14:textFill>
            <w14:solidFill>
              <w14:schemeClr w14:val="tx1"/>
            </w14:solidFill>
          </w14:textFill>
        </w:rPr>
        <w:t>一、项目概况</w:t>
      </w:r>
      <w:bookmarkEnd w:id="43"/>
    </w:p>
    <w:p w14:paraId="40BF099B">
      <w:pPr>
        <w:spacing w:line="360" w:lineRule="auto"/>
        <w:ind w:firstLine="420" w:firstLineChars="200"/>
        <w:outlineLvl w:val="1"/>
        <w:rPr>
          <w:rFonts w:ascii="宋体" w:cs="宋体"/>
          <w:color w:val="000000" w:themeColor="text1"/>
          <w:szCs w:val="21"/>
          <w14:textFill>
            <w14:solidFill>
              <w14:schemeClr w14:val="tx1"/>
            </w14:solidFill>
          </w14:textFill>
        </w:rPr>
      </w:pPr>
      <w:bookmarkStart w:id="44" w:name="_Toc25321"/>
      <w:r>
        <w:rPr>
          <w:rFonts w:hint="eastAsia" w:ascii="宋体" w:cs="宋体"/>
          <w:color w:val="000000" w:themeColor="text1"/>
          <w:szCs w:val="21"/>
          <w14:textFill>
            <w14:solidFill>
              <w14:schemeClr w14:val="tx1"/>
            </w14:solidFill>
          </w14:textFill>
        </w:rPr>
        <w:t>（一）项目名称：江门海关2026年涉案船舶委托保管服务。</w:t>
      </w:r>
      <w:bookmarkEnd w:id="44"/>
    </w:p>
    <w:p w14:paraId="5DD06666">
      <w:pPr>
        <w:spacing w:line="360" w:lineRule="auto"/>
        <w:ind w:firstLine="420" w:firstLineChars="200"/>
        <w:outlineLvl w:val="1"/>
        <w:rPr>
          <w:rFonts w:ascii="宋体" w:cs="宋体"/>
          <w:color w:val="000000" w:themeColor="text1"/>
          <w:szCs w:val="21"/>
          <w14:textFill>
            <w14:solidFill>
              <w14:schemeClr w14:val="tx1"/>
            </w14:solidFill>
          </w14:textFill>
        </w:rPr>
      </w:pPr>
      <w:bookmarkStart w:id="45" w:name="_Toc5799"/>
      <w:r>
        <w:rPr>
          <w:rFonts w:hint="eastAsia" w:ascii="宋体" w:cs="宋体"/>
          <w:color w:val="000000" w:themeColor="text1"/>
          <w:szCs w:val="21"/>
          <w14:textFill>
            <w14:solidFill>
              <w14:schemeClr w14:val="tx1"/>
            </w14:solidFill>
          </w14:textFill>
        </w:rPr>
        <w:t>（二）项目背景：为满足海关执法工作需要，确保涉案船舶在案件处理期间得到安全、规范的保管，现通过竞争性磋商采购方式确定具备资质的服务供应商，提供涉案船舶的委托保管服务。</w:t>
      </w:r>
      <w:bookmarkEnd w:id="45"/>
    </w:p>
    <w:p w14:paraId="095C1079">
      <w:pPr>
        <w:spacing w:line="360" w:lineRule="auto"/>
        <w:ind w:firstLine="420" w:firstLineChars="200"/>
        <w:outlineLvl w:val="1"/>
        <w:rPr>
          <w:rFonts w:ascii="宋体" w:cs="宋体"/>
          <w:color w:val="000000" w:themeColor="text1"/>
          <w:szCs w:val="21"/>
          <w14:textFill>
            <w14:solidFill>
              <w14:schemeClr w14:val="tx1"/>
            </w14:solidFill>
          </w14:textFill>
        </w:rPr>
      </w:pPr>
      <w:bookmarkStart w:id="46" w:name="_Toc13370"/>
      <w:r>
        <w:rPr>
          <w:rFonts w:hint="eastAsia" w:ascii="宋体" w:cs="宋体"/>
          <w:color w:val="000000" w:themeColor="text1"/>
          <w:szCs w:val="21"/>
          <w14:textFill>
            <w14:solidFill>
              <w14:schemeClr w14:val="tx1"/>
            </w14:solidFill>
          </w14:textFill>
        </w:rPr>
        <w:t>（三）采购标的：</w:t>
      </w:r>
      <w:bookmarkEnd w:id="46"/>
      <w:r>
        <w:rPr>
          <w:rFonts w:hint="eastAsia" w:ascii="宋体" w:cs="宋体"/>
          <w:color w:val="000000" w:themeColor="text1"/>
          <w:szCs w:val="21"/>
          <w14:textFill>
            <w14:solidFill>
              <w14:schemeClr w14:val="tx1"/>
            </w14:solidFill>
          </w14:textFill>
        </w:rPr>
        <w:t>委托保管的标的物是指采购人委托成交供应商保管的海关涉案财物（船舶），以下简称“涉案财物”。涉案财物的数量（重量）、规格、品名、型号、包装方式、</w:t>
      </w:r>
      <w:r>
        <w:rPr>
          <w:rFonts w:ascii="宋体" w:cs="宋体"/>
          <w:color w:val="000000" w:themeColor="text1"/>
          <w:szCs w:val="21"/>
          <w14:textFill>
            <w14:solidFill>
              <w14:schemeClr w14:val="tx1"/>
            </w14:solidFill>
          </w14:textFill>
        </w:rPr>
        <w:t>货物（物品）</w:t>
      </w:r>
      <w:r>
        <w:rPr>
          <w:rFonts w:hint="eastAsia" w:ascii="宋体" w:cs="宋体"/>
          <w:color w:val="000000" w:themeColor="text1"/>
          <w:szCs w:val="21"/>
          <w14:textFill>
            <w14:solidFill>
              <w14:schemeClr w14:val="tx1"/>
            </w14:solidFill>
          </w14:textFill>
        </w:rPr>
        <w:t>瑕疵等情况，以《海关涉案财物入库清单》载明的内容为准。</w:t>
      </w:r>
    </w:p>
    <w:p w14:paraId="2CA2AFBB">
      <w:pPr>
        <w:spacing w:line="360" w:lineRule="auto"/>
        <w:ind w:firstLine="420" w:firstLineChars="200"/>
        <w:outlineLvl w:val="1"/>
        <w:rPr>
          <w:rFonts w:ascii="宋体" w:cs="宋体"/>
          <w:color w:val="000000" w:themeColor="text1"/>
          <w:szCs w:val="21"/>
          <w14:textFill>
            <w14:solidFill>
              <w14:schemeClr w14:val="tx1"/>
            </w14:solidFill>
          </w14:textFill>
        </w:rPr>
      </w:pPr>
      <w:bookmarkStart w:id="47" w:name="_Toc32262"/>
      <w:r>
        <w:rPr>
          <w:rFonts w:hint="eastAsia" w:ascii="宋体" w:cs="宋体"/>
          <w:color w:val="000000" w:themeColor="text1"/>
          <w:szCs w:val="21"/>
          <w14:textFill>
            <w14:solidFill>
              <w14:schemeClr w14:val="tx1"/>
            </w14:solidFill>
          </w14:textFill>
        </w:rPr>
        <w:t>（四）服务期限：自2026年3月1日至2026年12月31日止，服务期为10个月。（以“采购金额累计达到采购预算”或“服务期限”到期，两者先到者合同结束）</w:t>
      </w:r>
      <w:bookmarkEnd w:id="47"/>
    </w:p>
    <w:p w14:paraId="66850A94">
      <w:pPr>
        <w:spacing w:line="360" w:lineRule="auto"/>
        <w:ind w:firstLine="420" w:firstLineChars="200"/>
        <w:outlineLvl w:val="1"/>
        <w:rPr>
          <w:rFonts w:ascii="宋体" w:cs="宋体"/>
          <w:color w:val="000000" w:themeColor="text1"/>
          <w:szCs w:val="21"/>
          <w14:textFill>
            <w14:solidFill>
              <w14:schemeClr w14:val="tx1"/>
            </w14:solidFill>
          </w14:textFill>
        </w:rPr>
      </w:pPr>
      <w:bookmarkStart w:id="48" w:name="_Toc4677"/>
      <w:r>
        <w:rPr>
          <w:rFonts w:hint="eastAsia" w:ascii="宋体" w:cs="宋体"/>
          <w:color w:val="000000" w:themeColor="text1"/>
          <w:szCs w:val="21"/>
          <w14:textFill>
            <w14:solidFill>
              <w14:schemeClr w14:val="tx1"/>
            </w14:solidFill>
          </w14:textFill>
        </w:rPr>
        <w:t>（五）项目服务地点：江门市全市。</w:t>
      </w:r>
      <w:bookmarkEnd w:id="48"/>
    </w:p>
    <w:p w14:paraId="6D75B24C">
      <w:pPr>
        <w:spacing w:line="360" w:lineRule="auto"/>
        <w:ind w:firstLine="420" w:firstLineChars="200"/>
        <w:outlineLvl w:val="1"/>
        <w:rPr>
          <w:rFonts w:ascii="宋体" w:cs="宋体"/>
          <w:color w:val="000000" w:themeColor="text1"/>
          <w:szCs w:val="21"/>
          <w14:textFill>
            <w14:solidFill>
              <w14:schemeClr w14:val="tx1"/>
            </w14:solidFill>
          </w14:textFill>
        </w:rPr>
      </w:pPr>
      <w:bookmarkStart w:id="49" w:name="_Toc13586"/>
      <w:r>
        <w:rPr>
          <w:rFonts w:hint="eastAsia" w:ascii="宋体" w:cs="宋体"/>
          <w:color w:val="000000" w:themeColor="text1"/>
          <w:szCs w:val="21"/>
          <w14:textFill>
            <w14:solidFill>
              <w14:schemeClr w14:val="tx1"/>
            </w14:solidFill>
          </w14:textFill>
        </w:rPr>
        <w:t>（六）项目采购预算：人民币95.00万元。</w:t>
      </w:r>
      <w:bookmarkEnd w:id="49"/>
    </w:p>
    <w:p w14:paraId="7C44A3A8">
      <w:pPr>
        <w:outlineLvl w:val="1"/>
        <w:rPr>
          <w:rFonts w:ascii="宋体" w:cs="宋体"/>
          <w:b/>
          <w:bCs/>
          <w:color w:val="000000" w:themeColor="text1"/>
          <w:szCs w:val="21"/>
          <w14:textFill>
            <w14:solidFill>
              <w14:schemeClr w14:val="tx1"/>
            </w14:solidFill>
          </w14:textFill>
        </w:rPr>
      </w:pPr>
      <w:bookmarkStart w:id="50" w:name="_Toc20672"/>
      <w:r>
        <w:rPr>
          <w:rFonts w:hint="eastAsia" w:ascii="宋体" w:cs="宋体"/>
          <w:b/>
          <w:bCs/>
          <w:color w:val="000000" w:themeColor="text1"/>
          <w:szCs w:val="21"/>
          <w14:textFill>
            <w14:solidFill>
              <w14:schemeClr w14:val="tx1"/>
            </w14:solidFill>
          </w14:textFill>
        </w:rPr>
        <w:t>二、技术要求</w:t>
      </w:r>
      <w:bookmarkEnd w:id="50"/>
    </w:p>
    <w:p w14:paraId="72B0E599">
      <w:pPr>
        <w:pStyle w:val="28"/>
        <w:spacing w:before="0" w:beforeAutospacing="0" w:after="0" w:line="360" w:lineRule="auto"/>
        <w:ind w:left="0" w:leftChars="0" w:firstLine="420" w:firstLineChars="0"/>
        <w:jc w:val="left"/>
        <w:rPr>
          <w:rFonts w:ascii="宋体" w:cs="宋体"/>
          <w:color w:val="000000" w:themeColor="text1"/>
          <w:szCs w:val="21"/>
          <w14:textFill>
            <w14:solidFill>
              <w14:schemeClr w14:val="tx1"/>
            </w14:solidFill>
          </w14:textFill>
        </w:rPr>
      </w:pPr>
      <w:r>
        <w:rPr>
          <w:rFonts w:hint="eastAsia" w:ascii="宋体" w:cs="宋体"/>
          <w:b/>
          <w:bCs/>
          <w:color w:val="000000" w:themeColor="text1"/>
          <w:szCs w:val="21"/>
          <w14:textFill>
            <w14:solidFill>
              <w14:schemeClr w14:val="tx1"/>
            </w14:solidFill>
          </w14:textFill>
        </w:rPr>
        <w:t>（一）报价方式</w:t>
      </w:r>
    </w:p>
    <w:p w14:paraId="7B57DDB0">
      <w:pPr>
        <w:pStyle w:val="13"/>
        <w:tabs>
          <w:tab w:val="left" w:pos="540"/>
        </w:tabs>
        <w:adjustRightInd w:val="0"/>
        <w:snapToGrid w:val="0"/>
        <w:spacing w:line="360" w:lineRule="auto"/>
        <w:ind w:firstLine="420" w:firstLineChars="200"/>
        <w:rPr>
          <w:rFonts w:hint="eastAsia" w:hAnsi="宋体" w:cs="宋体"/>
          <w:bCs/>
          <w:color w:val="000000" w:themeColor="text1"/>
          <w14:textFill>
            <w14:solidFill>
              <w14:schemeClr w14:val="tx1"/>
            </w14:solidFill>
          </w14:textFill>
        </w:rPr>
      </w:pPr>
      <w:r>
        <w:rPr>
          <w:rFonts w:hint="eastAsia" w:hAnsi="宋体" w:cs="宋体"/>
          <w:bCs/>
          <w:color w:val="000000" w:themeColor="text1"/>
          <w14:textFill>
            <w14:solidFill>
              <w14:schemeClr w14:val="tx1"/>
            </w14:solidFill>
          </w14:textFill>
        </w:rPr>
        <w:t>以综合单价方式报价（详见下表，保管费应包含因保管发生的所有税费。拖船费用另议，产生的驾驶费包含加油费以及其它相关费用（据实结算）。其它应江门海关所提要求而额外发生的费用，经双方同意后，以清单列示，经双方签名确认后有效。</w:t>
      </w:r>
    </w:p>
    <w:tbl>
      <w:tblPr>
        <w:tblStyle w:val="29"/>
        <w:tblpPr w:leftFromText="180" w:rightFromText="180" w:vertAnchor="text" w:horzAnchor="margin" w:tblpXSpec="center" w:tblpY="231"/>
        <w:tblW w:w="9263" w:type="dxa"/>
        <w:tblInd w:w="0" w:type="dxa"/>
        <w:tblLayout w:type="autofit"/>
        <w:tblCellMar>
          <w:top w:w="0" w:type="dxa"/>
          <w:left w:w="108" w:type="dxa"/>
          <w:bottom w:w="0" w:type="dxa"/>
          <w:right w:w="108" w:type="dxa"/>
        </w:tblCellMar>
      </w:tblPr>
      <w:tblGrid>
        <w:gridCol w:w="721"/>
        <w:gridCol w:w="2425"/>
        <w:gridCol w:w="1938"/>
        <w:gridCol w:w="2237"/>
        <w:gridCol w:w="1942"/>
      </w:tblGrid>
      <w:tr w14:paraId="38F01D4A">
        <w:tblPrEx>
          <w:tblCellMar>
            <w:top w:w="0" w:type="dxa"/>
            <w:left w:w="108" w:type="dxa"/>
            <w:bottom w:w="0" w:type="dxa"/>
            <w:right w:w="108" w:type="dxa"/>
          </w:tblCellMar>
        </w:tblPrEx>
        <w:trPr>
          <w:trHeight w:val="454" w:hRule="atLeast"/>
        </w:trPr>
        <w:tc>
          <w:tcPr>
            <w:tcW w:w="9263" w:type="dxa"/>
            <w:gridSpan w:val="5"/>
            <w:tcBorders>
              <w:top w:val="nil"/>
              <w:left w:val="nil"/>
              <w:bottom w:val="single" w:color="auto" w:sz="4" w:space="0"/>
              <w:right w:val="nil"/>
            </w:tcBorders>
            <w:vAlign w:val="center"/>
          </w:tcPr>
          <w:p w14:paraId="4F4E7647">
            <w:pPr>
              <w:pStyle w:val="90"/>
              <w:widowControl/>
              <w:snapToGrid w:val="0"/>
              <w:spacing w:line="360" w:lineRule="auto"/>
              <w:jc w:val="center"/>
              <w:rPr>
                <w:rFonts w:hint="eastAsia" w:ascii="宋体" w:hAnsi="宋体" w:cs="宋体"/>
                <w:b/>
                <w:bCs/>
                <w:color w:val="000000" w:themeColor="text1"/>
                <w:szCs w:val="21"/>
                <w14:textFill>
                  <w14:solidFill>
                    <w14:schemeClr w14:val="tx1"/>
                  </w14:solidFill>
                </w14:textFill>
              </w:rPr>
            </w:pPr>
            <w:bookmarkStart w:id="51" w:name="RANGE!A1:D40"/>
            <w:bookmarkEnd w:id="51"/>
            <w:r>
              <w:rPr>
                <w:rFonts w:hint="eastAsia" w:ascii="宋体" w:hAnsi="宋体" w:cs="宋体"/>
                <w:color w:val="000000" w:themeColor="text1"/>
                <w:szCs w:val="21"/>
                <w14:textFill>
                  <w14:solidFill>
                    <w14:schemeClr w14:val="tx1"/>
                  </w14:solidFill>
                </w14:textFill>
              </w:rPr>
              <w:t>涉案财物保管费用报价表</w:t>
            </w:r>
          </w:p>
        </w:tc>
      </w:tr>
      <w:tr w14:paraId="14D17439">
        <w:tblPrEx>
          <w:tblCellMar>
            <w:top w:w="0" w:type="dxa"/>
            <w:left w:w="108" w:type="dxa"/>
            <w:bottom w:w="0" w:type="dxa"/>
            <w:right w:w="108" w:type="dxa"/>
          </w:tblCellMar>
        </w:tblPrEx>
        <w:trPr>
          <w:trHeight w:val="454" w:hRule="atLeast"/>
        </w:trPr>
        <w:tc>
          <w:tcPr>
            <w:tcW w:w="721" w:type="dxa"/>
            <w:vMerge w:val="restart"/>
            <w:tcBorders>
              <w:top w:val="single" w:color="auto" w:sz="4" w:space="0"/>
              <w:left w:val="single" w:color="000000" w:sz="4" w:space="0"/>
              <w:bottom w:val="single" w:color="000000" w:sz="4" w:space="0"/>
              <w:right w:val="single" w:color="000000" w:sz="4" w:space="0"/>
            </w:tcBorders>
            <w:vAlign w:val="center"/>
          </w:tcPr>
          <w:p w14:paraId="5686F17F">
            <w:pPr>
              <w:snapToGrid w:val="0"/>
              <w:spacing w:line="360" w:lineRule="auto"/>
              <w:jc w:val="center"/>
              <w:rPr>
                <w:rFonts w:hint="eastAsia"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序号</w:t>
            </w:r>
          </w:p>
        </w:tc>
        <w:tc>
          <w:tcPr>
            <w:tcW w:w="2425" w:type="dxa"/>
            <w:vMerge w:val="restart"/>
            <w:tcBorders>
              <w:top w:val="single" w:color="auto" w:sz="4" w:space="0"/>
              <w:left w:val="single" w:color="auto" w:sz="4" w:space="0"/>
              <w:bottom w:val="single" w:color="000000" w:sz="4" w:space="0"/>
              <w:right w:val="single" w:color="000000" w:sz="4" w:space="0"/>
            </w:tcBorders>
            <w:vAlign w:val="center"/>
          </w:tcPr>
          <w:p w14:paraId="506585DC">
            <w:pPr>
              <w:pStyle w:val="91"/>
              <w:snapToGrid w:val="0"/>
              <w:spacing w:line="360" w:lineRule="auto"/>
              <w:jc w:val="center"/>
              <w:rPr>
                <w:rFonts w:hint="eastAsia"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船长（米）</w:t>
            </w:r>
          </w:p>
        </w:tc>
        <w:tc>
          <w:tcPr>
            <w:tcW w:w="4175" w:type="dxa"/>
            <w:gridSpan w:val="2"/>
            <w:tcBorders>
              <w:top w:val="single" w:color="auto" w:sz="4" w:space="0"/>
              <w:left w:val="single" w:color="auto" w:sz="4" w:space="0"/>
              <w:bottom w:val="single" w:color="000000" w:sz="4" w:space="0"/>
              <w:right w:val="single" w:color="000000" w:sz="4" w:space="0"/>
            </w:tcBorders>
            <w:vAlign w:val="center"/>
          </w:tcPr>
          <w:p w14:paraId="707A7F5D">
            <w:pPr>
              <w:widowControl/>
              <w:snapToGrid w:val="0"/>
              <w:spacing w:line="360" w:lineRule="auto"/>
              <w:jc w:val="center"/>
              <w:rPr>
                <w:rFonts w:hint="eastAsia"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保管费</w:t>
            </w:r>
          </w:p>
        </w:tc>
        <w:tc>
          <w:tcPr>
            <w:tcW w:w="1942" w:type="dxa"/>
            <w:tcBorders>
              <w:top w:val="single" w:color="auto" w:sz="4" w:space="0"/>
              <w:left w:val="single" w:color="auto" w:sz="4" w:space="0"/>
              <w:bottom w:val="single" w:color="000000" w:sz="4" w:space="0"/>
              <w:right w:val="single" w:color="000000" w:sz="4" w:space="0"/>
            </w:tcBorders>
            <w:vAlign w:val="center"/>
          </w:tcPr>
          <w:p w14:paraId="62E40267">
            <w:pPr>
              <w:widowControl/>
              <w:snapToGrid w:val="0"/>
              <w:spacing w:line="360" w:lineRule="auto"/>
              <w:jc w:val="center"/>
              <w:rPr>
                <w:rFonts w:hint="eastAsia"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备注</w:t>
            </w:r>
          </w:p>
        </w:tc>
      </w:tr>
      <w:tr w14:paraId="2E2BFE56">
        <w:tblPrEx>
          <w:tblCellMar>
            <w:top w:w="0" w:type="dxa"/>
            <w:left w:w="108" w:type="dxa"/>
            <w:bottom w:w="0" w:type="dxa"/>
            <w:right w:w="108" w:type="dxa"/>
          </w:tblCellMar>
        </w:tblPrEx>
        <w:trPr>
          <w:trHeight w:val="454" w:hRule="atLeast"/>
        </w:trPr>
        <w:tc>
          <w:tcPr>
            <w:tcW w:w="721" w:type="dxa"/>
            <w:vMerge w:val="continue"/>
            <w:tcBorders>
              <w:top w:val="single" w:color="auto" w:sz="4" w:space="0"/>
              <w:left w:val="single" w:color="000000" w:sz="4" w:space="0"/>
              <w:bottom w:val="single" w:color="000000" w:sz="4" w:space="0"/>
              <w:right w:val="single" w:color="000000" w:sz="4" w:space="0"/>
            </w:tcBorders>
            <w:vAlign w:val="center"/>
          </w:tcPr>
          <w:p w14:paraId="0152BA3D">
            <w:pPr>
              <w:spacing w:line="360" w:lineRule="auto"/>
              <w:rPr>
                <w:rFonts w:hint="eastAsia" w:ascii="宋体" w:hAnsi="宋体" w:cs="宋体"/>
                <w:color w:val="000000" w:themeColor="text1"/>
                <w:szCs w:val="21"/>
                <w14:textFill>
                  <w14:solidFill>
                    <w14:schemeClr w14:val="tx1"/>
                  </w14:solidFill>
                </w14:textFill>
              </w:rPr>
            </w:pPr>
          </w:p>
        </w:tc>
        <w:tc>
          <w:tcPr>
            <w:tcW w:w="2425" w:type="dxa"/>
            <w:vMerge w:val="continue"/>
            <w:tcBorders>
              <w:top w:val="single" w:color="auto" w:sz="4" w:space="0"/>
              <w:left w:val="single" w:color="auto" w:sz="4" w:space="0"/>
              <w:bottom w:val="single" w:color="000000" w:sz="4" w:space="0"/>
              <w:right w:val="single" w:color="000000" w:sz="4" w:space="0"/>
            </w:tcBorders>
            <w:vAlign w:val="center"/>
          </w:tcPr>
          <w:p w14:paraId="50D15377">
            <w:pPr>
              <w:spacing w:line="360" w:lineRule="auto"/>
              <w:rPr>
                <w:rFonts w:hint="eastAsia" w:ascii="宋体" w:hAnsi="宋体" w:cs="宋体"/>
                <w:color w:val="000000" w:themeColor="text1"/>
                <w:szCs w:val="21"/>
                <w14:textFill>
                  <w14:solidFill>
                    <w14:schemeClr w14:val="tx1"/>
                  </w14:solidFill>
                </w14:textFill>
              </w:rPr>
            </w:pPr>
          </w:p>
        </w:tc>
        <w:tc>
          <w:tcPr>
            <w:tcW w:w="1938" w:type="dxa"/>
            <w:tcBorders>
              <w:top w:val="single" w:color="000000" w:sz="4" w:space="0"/>
              <w:left w:val="single" w:color="000000" w:sz="4" w:space="0"/>
              <w:bottom w:val="single" w:color="000000" w:sz="4" w:space="0"/>
              <w:right w:val="single" w:color="000000" w:sz="4" w:space="0"/>
            </w:tcBorders>
            <w:vAlign w:val="center"/>
          </w:tcPr>
          <w:p w14:paraId="0C0CA6E8">
            <w:pPr>
              <w:widowControl/>
              <w:snapToGrid w:val="0"/>
              <w:spacing w:line="360" w:lineRule="auto"/>
              <w:jc w:val="center"/>
              <w:rPr>
                <w:rFonts w:hint="eastAsia"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计费标准</w:t>
            </w:r>
          </w:p>
        </w:tc>
        <w:tc>
          <w:tcPr>
            <w:tcW w:w="2237" w:type="dxa"/>
            <w:tcBorders>
              <w:top w:val="single" w:color="000000" w:sz="4" w:space="0"/>
              <w:left w:val="single" w:color="000000" w:sz="4" w:space="0"/>
              <w:bottom w:val="single" w:color="000000" w:sz="4" w:space="0"/>
              <w:right w:val="single" w:color="000000" w:sz="4" w:space="0"/>
            </w:tcBorders>
            <w:vAlign w:val="center"/>
          </w:tcPr>
          <w:p w14:paraId="3D9F2A84">
            <w:pPr>
              <w:widowControl/>
              <w:snapToGrid w:val="0"/>
              <w:spacing w:line="360" w:lineRule="auto"/>
              <w:jc w:val="center"/>
              <w:rPr>
                <w:rFonts w:hint="eastAsia"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单价最高限价</w:t>
            </w:r>
          </w:p>
          <w:p w14:paraId="72E97D38">
            <w:pPr>
              <w:widowControl/>
              <w:snapToGrid w:val="0"/>
              <w:spacing w:line="360" w:lineRule="auto"/>
              <w:jc w:val="center"/>
              <w:rPr>
                <w:rFonts w:hint="eastAsia"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（人民币 元/天/艘）</w:t>
            </w:r>
          </w:p>
        </w:tc>
        <w:tc>
          <w:tcPr>
            <w:tcW w:w="1942" w:type="dxa"/>
            <w:vMerge w:val="restart"/>
            <w:tcBorders>
              <w:top w:val="single" w:color="000000" w:sz="4" w:space="0"/>
              <w:left w:val="single" w:color="000000" w:sz="4" w:space="0"/>
              <w:bottom w:val="nil"/>
              <w:right w:val="single" w:color="000000" w:sz="4" w:space="0"/>
            </w:tcBorders>
            <w:vAlign w:val="center"/>
          </w:tcPr>
          <w:p w14:paraId="3B7CF8CB">
            <w:pPr>
              <w:snapToGrid w:val="0"/>
              <w:spacing w:line="360" w:lineRule="auto"/>
              <w:jc w:val="center"/>
              <w:rPr>
                <w:rFonts w:hint="eastAsia"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拖船费用另议，产生的驾驶费包含加油费以及其它相关费用（据实结算）</w:t>
            </w:r>
          </w:p>
        </w:tc>
      </w:tr>
      <w:tr w14:paraId="1814FBAC">
        <w:tblPrEx>
          <w:tblCellMar>
            <w:top w:w="0" w:type="dxa"/>
            <w:left w:w="108" w:type="dxa"/>
            <w:bottom w:w="0" w:type="dxa"/>
            <w:right w:w="108" w:type="dxa"/>
          </w:tblCellMar>
        </w:tblPrEx>
        <w:trPr>
          <w:trHeight w:val="397" w:hRule="atLeast"/>
        </w:trPr>
        <w:tc>
          <w:tcPr>
            <w:tcW w:w="721" w:type="dxa"/>
            <w:tcBorders>
              <w:top w:val="single" w:color="000000" w:sz="4" w:space="0"/>
              <w:left w:val="single" w:color="000000" w:sz="4" w:space="0"/>
              <w:bottom w:val="single" w:color="000000" w:sz="4" w:space="0"/>
              <w:right w:val="single" w:color="000000" w:sz="4" w:space="0"/>
            </w:tcBorders>
            <w:vAlign w:val="center"/>
          </w:tcPr>
          <w:p w14:paraId="176CF9DF">
            <w:pPr>
              <w:widowControl/>
              <w:snapToGrid w:val="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p>
        </w:tc>
        <w:tc>
          <w:tcPr>
            <w:tcW w:w="2425" w:type="dxa"/>
            <w:tcBorders>
              <w:top w:val="single" w:color="000000" w:sz="4" w:space="0"/>
              <w:left w:val="single" w:color="000000" w:sz="4" w:space="0"/>
              <w:bottom w:val="single" w:color="000000" w:sz="4" w:space="0"/>
              <w:right w:val="single" w:color="000000" w:sz="4" w:space="0"/>
            </w:tcBorders>
            <w:vAlign w:val="center"/>
          </w:tcPr>
          <w:p w14:paraId="6A3AB4AF">
            <w:pPr>
              <w:pStyle w:val="60"/>
              <w:spacing w:line="240" w:lineRule="auto"/>
              <w:jc w:val="center"/>
              <w:rPr>
                <w:rFonts w:hint="eastAsia" w:hAnsi="宋体" w:cs="宋体"/>
                <w:color w:val="000000" w:themeColor="text1"/>
                <w:kern w:val="0"/>
                <w14:textFill>
                  <w14:solidFill>
                    <w14:schemeClr w14:val="tx1"/>
                  </w14:solidFill>
                </w14:textFill>
              </w:rPr>
            </w:pPr>
            <w:r>
              <w:rPr>
                <w:rFonts w:hint="eastAsia" w:hAnsi="宋体" w:cs="宋体"/>
                <w:color w:val="000000" w:themeColor="text1"/>
                <w14:textFill>
                  <w14:solidFill>
                    <w14:schemeClr w14:val="tx1"/>
                  </w14:solidFill>
                </w14:textFill>
              </w:rPr>
              <w:t>25以下</w:t>
            </w:r>
          </w:p>
        </w:tc>
        <w:tc>
          <w:tcPr>
            <w:tcW w:w="1938" w:type="dxa"/>
            <w:tcBorders>
              <w:top w:val="single" w:color="000000" w:sz="4" w:space="0"/>
              <w:left w:val="single" w:color="000000" w:sz="4" w:space="0"/>
              <w:bottom w:val="single" w:color="000000" w:sz="4" w:space="0"/>
              <w:right w:val="single" w:color="000000" w:sz="4" w:space="0"/>
            </w:tcBorders>
            <w:vAlign w:val="center"/>
          </w:tcPr>
          <w:p w14:paraId="42D2F097">
            <w:pPr>
              <w:widowControl/>
              <w:snapToGrid w:val="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元/天/艘</w:t>
            </w:r>
          </w:p>
        </w:tc>
        <w:tc>
          <w:tcPr>
            <w:tcW w:w="2237" w:type="dxa"/>
            <w:tcBorders>
              <w:top w:val="single" w:color="000000" w:sz="4" w:space="0"/>
              <w:left w:val="single" w:color="000000" w:sz="4" w:space="0"/>
              <w:bottom w:val="single" w:color="000000" w:sz="4" w:space="0"/>
              <w:right w:val="single" w:color="000000" w:sz="4" w:space="0"/>
            </w:tcBorders>
            <w:vAlign w:val="center"/>
          </w:tcPr>
          <w:p w14:paraId="47380097">
            <w:pPr>
              <w:snapToGrid w:val="0"/>
              <w:jc w:val="center"/>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90</w:t>
            </w:r>
          </w:p>
        </w:tc>
        <w:tc>
          <w:tcPr>
            <w:tcW w:w="1942" w:type="dxa"/>
            <w:vMerge w:val="continue"/>
            <w:tcBorders>
              <w:top w:val="nil"/>
              <w:left w:val="single" w:color="000000" w:sz="4" w:space="0"/>
              <w:bottom w:val="nil"/>
              <w:right w:val="single" w:color="000000" w:sz="4" w:space="0"/>
            </w:tcBorders>
            <w:vAlign w:val="center"/>
          </w:tcPr>
          <w:p w14:paraId="675A9EF3">
            <w:pPr>
              <w:spacing w:line="360" w:lineRule="auto"/>
              <w:rPr>
                <w:rFonts w:hint="eastAsia" w:ascii="宋体" w:hAnsi="宋体" w:cs="宋体"/>
                <w:color w:val="000000" w:themeColor="text1"/>
                <w:szCs w:val="21"/>
                <w14:textFill>
                  <w14:solidFill>
                    <w14:schemeClr w14:val="tx1"/>
                  </w14:solidFill>
                </w14:textFill>
              </w:rPr>
            </w:pPr>
          </w:p>
        </w:tc>
      </w:tr>
      <w:tr w14:paraId="58DA4FFD">
        <w:tblPrEx>
          <w:tblCellMar>
            <w:top w:w="0" w:type="dxa"/>
            <w:left w:w="108" w:type="dxa"/>
            <w:bottom w:w="0" w:type="dxa"/>
            <w:right w:w="108" w:type="dxa"/>
          </w:tblCellMar>
        </w:tblPrEx>
        <w:trPr>
          <w:trHeight w:val="397" w:hRule="atLeast"/>
        </w:trPr>
        <w:tc>
          <w:tcPr>
            <w:tcW w:w="721" w:type="dxa"/>
            <w:tcBorders>
              <w:top w:val="single" w:color="000000" w:sz="4" w:space="0"/>
              <w:left w:val="single" w:color="000000" w:sz="4" w:space="0"/>
              <w:bottom w:val="single" w:color="000000" w:sz="4" w:space="0"/>
              <w:right w:val="single" w:color="000000" w:sz="4" w:space="0"/>
            </w:tcBorders>
            <w:vAlign w:val="center"/>
          </w:tcPr>
          <w:p w14:paraId="611D6AA3">
            <w:pPr>
              <w:widowControl/>
              <w:snapToGrid w:val="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w:t>
            </w:r>
          </w:p>
        </w:tc>
        <w:tc>
          <w:tcPr>
            <w:tcW w:w="2425" w:type="dxa"/>
            <w:tcBorders>
              <w:top w:val="single" w:color="000000" w:sz="4" w:space="0"/>
              <w:left w:val="single" w:color="000000" w:sz="4" w:space="0"/>
              <w:bottom w:val="single" w:color="000000" w:sz="4" w:space="0"/>
              <w:right w:val="single" w:color="000000" w:sz="4" w:space="0"/>
            </w:tcBorders>
            <w:vAlign w:val="center"/>
          </w:tcPr>
          <w:p w14:paraId="40DC0EF5">
            <w:pPr>
              <w:pStyle w:val="62"/>
              <w:spacing w:line="240" w:lineRule="auto"/>
              <w:jc w:val="center"/>
              <w:rPr>
                <w:rFonts w:hint="eastAsia" w:hAnsi="宋体" w:cs="宋体"/>
                <w:color w:val="000000" w:themeColor="text1"/>
                <w:kern w:val="0"/>
                <w14:textFill>
                  <w14:solidFill>
                    <w14:schemeClr w14:val="tx1"/>
                  </w14:solidFill>
                </w14:textFill>
              </w:rPr>
            </w:pPr>
            <w:r>
              <w:rPr>
                <w:rFonts w:hint="eastAsia" w:hAnsi="宋体" w:cs="宋体"/>
                <w:color w:val="000000" w:themeColor="text1"/>
                <w14:textFill>
                  <w14:solidFill>
                    <w14:schemeClr w14:val="tx1"/>
                  </w14:solidFill>
                </w14:textFill>
              </w:rPr>
              <w:t>25（含）-50（不含）</w:t>
            </w:r>
          </w:p>
        </w:tc>
        <w:tc>
          <w:tcPr>
            <w:tcW w:w="1938" w:type="dxa"/>
            <w:tcBorders>
              <w:top w:val="single" w:color="000000" w:sz="4" w:space="0"/>
              <w:left w:val="single" w:color="000000" w:sz="4" w:space="0"/>
              <w:bottom w:val="single" w:color="000000" w:sz="4" w:space="0"/>
              <w:right w:val="single" w:color="000000" w:sz="4" w:space="0"/>
            </w:tcBorders>
            <w:vAlign w:val="center"/>
          </w:tcPr>
          <w:p w14:paraId="0B31BD86">
            <w:pPr>
              <w:snapToGrid w:val="0"/>
              <w:jc w:val="center"/>
              <w:rPr>
                <w:rFonts w:hint="eastAsia" w:ascii="宋体" w:hAnsi="宋体" w:cs="宋体"/>
                <w:b/>
                <w:bCs/>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元/天/艘</w:t>
            </w:r>
          </w:p>
        </w:tc>
        <w:tc>
          <w:tcPr>
            <w:tcW w:w="2237" w:type="dxa"/>
            <w:tcBorders>
              <w:top w:val="single" w:color="000000" w:sz="4" w:space="0"/>
              <w:left w:val="single" w:color="000000" w:sz="4" w:space="0"/>
              <w:bottom w:val="single" w:color="000000" w:sz="4" w:space="0"/>
              <w:right w:val="single" w:color="000000" w:sz="4" w:space="0"/>
            </w:tcBorders>
            <w:vAlign w:val="center"/>
          </w:tcPr>
          <w:p w14:paraId="29F88957">
            <w:pPr>
              <w:snapToGrid w:val="0"/>
              <w:jc w:val="center"/>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150</w:t>
            </w:r>
          </w:p>
        </w:tc>
        <w:tc>
          <w:tcPr>
            <w:tcW w:w="1942" w:type="dxa"/>
            <w:vMerge w:val="continue"/>
            <w:tcBorders>
              <w:top w:val="nil"/>
              <w:left w:val="single" w:color="000000" w:sz="4" w:space="0"/>
              <w:bottom w:val="nil"/>
              <w:right w:val="single" w:color="000000" w:sz="4" w:space="0"/>
            </w:tcBorders>
            <w:vAlign w:val="center"/>
          </w:tcPr>
          <w:p w14:paraId="3ED2C94D">
            <w:pPr>
              <w:spacing w:line="360" w:lineRule="auto"/>
              <w:rPr>
                <w:rFonts w:hint="eastAsia" w:ascii="宋体" w:hAnsi="宋体" w:cs="宋体"/>
                <w:color w:val="000000" w:themeColor="text1"/>
                <w:szCs w:val="21"/>
                <w14:textFill>
                  <w14:solidFill>
                    <w14:schemeClr w14:val="tx1"/>
                  </w14:solidFill>
                </w14:textFill>
              </w:rPr>
            </w:pPr>
          </w:p>
        </w:tc>
      </w:tr>
      <w:tr w14:paraId="61E65467">
        <w:tblPrEx>
          <w:tblCellMar>
            <w:top w:w="0" w:type="dxa"/>
            <w:left w:w="108" w:type="dxa"/>
            <w:bottom w:w="0" w:type="dxa"/>
            <w:right w:w="108" w:type="dxa"/>
          </w:tblCellMar>
        </w:tblPrEx>
        <w:trPr>
          <w:trHeight w:val="397" w:hRule="atLeast"/>
        </w:trPr>
        <w:tc>
          <w:tcPr>
            <w:tcW w:w="721" w:type="dxa"/>
            <w:tcBorders>
              <w:top w:val="single" w:color="000000" w:sz="4" w:space="0"/>
              <w:left w:val="single" w:color="000000" w:sz="4" w:space="0"/>
              <w:bottom w:val="single" w:color="000000" w:sz="4" w:space="0"/>
              <w:right w:val="single" w:color="000000" w:sz="4" w:space="0"/>
            </w:tcBorders>
            <w:vAlign w:val="center"/>
          </w:tcPr>
          <w:p w14:paraId="1B7BDC02">
            <w:pPr>
              <w:widowControl/>
              <w:snapToGrid w:val="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2425" w:type="dxa"/>
            <w:tcBorders>
              <w:top w:val="single" w:color="000000" w:sz="4" w:space="0"/>
              <w:left w:val="single" w:color="000000" w:sz="4" w:space="0"/>
              <w:bottom w:val="single" w:color="000000" w:sz="4" w:space="0"/>
              <w:right w:val="single" w:color="000000" w:sz="4" w:space="0"/>
            </w:tcBorders>
            <w:vAlign w:val="center"/>
          </w:tcPr>
          <w:p w14:paraId="181AA279">
            <w:pPr>
              <w:pStyle w:val="65"/>
              <w:spacing w:line="240" w:lineRule="auto"/>
              <w:jc w:val="center"/>
              <w:rPr>
                <w:rFonts w:hint="eastAsia"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50（含）-80（不含）</w:t>
            </w:r>
          </w:p>
        </w:tc>
        <w:tc>
          <w:tcPr>
            <w:tcW w:w="1938" w:type="dxa"/>
            <w:tcBorders>
              <w:top w:val="single" w:color="000000" w:sz="4" w:space="0"/>
              <w:left w:val="single" w:color="000000" w:sz="4" w:space="0"/>
              <w:bottom w:val="single" w:color="000000" w:sz="4" w:space="0"/>
              <w:right w:val="single" w:color="000000" w:sz="4" w:space="0"/>
            </w:tcBorders>
            <w:vAlign w:val="center"/>
          </w:tcPr>
          <w:p w14:paraId="1A38D39C">
            <w:pPr>
              <w:widowControl/>
              <w:snapToGrid w:val="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元/天/艘</w:t>
            </w:r>
          </w:p>
        </w:tc>
        <w:tc>
          <w:tcPr>
            <w:tcW w:w="2237" w:type="dxa"/>
            <w:tcBorders>
              <w:top w:val="single" w:color="000000" w:sz="4" w:space="0"/>
              <w:left w:val="single" w:color="000000" w:sz="4" w:space="0"/>
              <w:bottom w:val="single" w:color="000000" w:sz="4" w:space="0"/>
              <w:right w:val="single" w:color="000000" w:sz="4" w:space="0"/>
            </w:tcBorders>
            <w:vAlign w:val="center"/>
          </w:tcPr>
          <w:p w14:paraId="1C6F9421">
            <w:pPr>
              <w:widowControl/>
              <w:snapToGrid w:val="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215</w:t>
            </w:r>
          </w:p>
        </w:tc>
        <w:tc>
          <w:tcPr>
            <w:tcW w:w="1942" w:type="dxa"/>
            <w:vMerge w:val="continue"/>
            <w:tcBorders>
              <w:top w:val="nil"/>
              <w:left w:val="single" w:color="000000" w:sz="4" w:space="0"/>
              <w:bottom w:val="nil"/>
              <w:right w:val="single" w:color="000000" w:sz="4" w:space="0"/>
            </w:tcBorders>
            <w:vAlign w:val="center"/>
          </w:tcPr>
          <w:p w14:paraId="64D1ECB7">
            <w:pPr>
              <w:spacing w:line="360" w:lineRule="auto"/>
              <w:rPr>
                <w:rFonts w:hint="eastAsia" w:ascii="宋体" w:hAnsi="宋体" w:cs="宋体"/>
                <w:color w:val="000000" w:themeColor="text1"/>
                <w:szCs w:val="21"/>
                <w14:textFill>
                  <w14:solidFill>
                    <w14:schemeClr w14:val="tx1"/>
                  </w14:solidFill>
                </w14:textFill>
              </w:rPr>
            </w:pPr>
          </w:p>
        </w:tc>
      </w:tr>
      <w:tr w14:paraId="34EBC66D">
        <w:tblPrEx>
          <w:tblCellMar>
            <w:top w:w="0" w:type="dxa"/>
            <w:left w:w="108" w:type="dxa"/>
            <w:bottom w:w="0" w:type="dxa"/>
            <w:right w:w="108" w:type="dxa"/>
          </w:tblCellMar>
        </w:tblPrEx>
        <w:trPr>
          <w:trHeight w:val="397" w:hRule="atLeast"/>
        </w:trPr>
        <w:tc>
          <w:tcPr>
            <w:tcW w:w="721" w:type="dxa"/>
            <w:tcBorders>
              <w:top w:val="single" w:color="000000" w:sz="4" w:space="0"/>
              <w:left w:val="single" w:color="000000" w:sz="4" w:space="0"/>
              <w:bottom w:val="single" w:color="000000" w:sz="4" w:space="0"/>
              <w:right w:val="single" w:color="000000" w:sz="4" w:space="0"/>
            </w:tcBorders>
            <w:vAlign w:val="center"/>
          </w:tcPr>
          <w:p w14:paraId="19A33893">
            <w:pPr>
              <w:widowControl/>
              <w:snapToGrid w:val="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2425" w:type="dxa"/>
            <w:tcBorders>
              <w:top w:val="single" w:color="000000" w:sz="4" w:space="0"/>
              <w:left w:val="single" w:color="000000" w:sz="4" w:space="0"/>
              <w:bottom w:val="single" w:color="000000" w:sz="4" w:space="0"/>
              <w:right w:val="single" w:color="000000" w:sz="4" w:space="0"/>
            </w:tcBorders>
            <w:vAlign w:val="center"/>
          </w:tcPr>
          <w:p w14:paraId="4866E0A1">
            <w:pPr>
              <w:pStyle w:val="66"/>
              <w:spacing w:line="240" w:lineRule="auto"/>
              <w:jc w:val="center"/>
              <w:rPr>
                <w:rFonts w:hint="eastAsia" w:hAnsi="宋体" w:cs="宋体"/>
                <w:color w:val="000000" w:themeColor="text1"/>
                <w:kern w:val="0"/>
                <w14:textFill>
                  <w14:solidFill>
                    <w14:schemeClr w14:val="tx1"/>
                  </w14:solidFill>
                </w14:textFill>
              </w:rPr>
            </w:pPr>
            <w:r>
              <w:rPr>
                <w:rFonts w:hint="eastAsia" w:hAnsi="宋体" w:cs="宋体"/>
                <w:color w:val="000000" w:themeColor="text1"/>
                <w14:textFill>
                  <w14:solidFill>
                    <w14:schemeClr w14:val="tx1"/>
                  </w14:solidFill>
                </w14:textFill>
              </w:rPr>
              <w:t>80（含）-100（不含）</w:t>
            </w:r>
          </w:p>
        </w:tc>
        <w:tc>
          <w:tcPr>
            <w:tcW w:w="1938" w:type="dxa"/>
            <w:tcBorders>
              <w:top w:val="single" w:color="000000" w:sz="4" w:space="0"/>
              <w:left w:val="single" w:color="000000" w:sz="4" w:space="0"/>
              <w:bottom w:val="single" w:color="000000" w:sz="4" w:space="0"/>
              <w:right w:val="single" w:color="000000" w:sz="4" w:space="0"/>
            </w:tcBorders>
            <w:vAlign w:val="center"/>
          </w:tcPr>
          <w:p w14:paraId="203FB351">
            <w:pPr>
              <w:widowControl/>
              <w:snapToGrid w:val="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元/天/艘</w:t>
            </w:r>
          </w:p>
        </w:tc>
        <w:tc>
          <w:tcPr>
            <w:tcW w:w="2237" w:type="dxa"/>
            <w:tcBorders>
              <w:top w:val="single" w:color="000000" w:sz="4" w:space="0"/>
              <w:left w:val="single" w:color="000000" w:sz="4" w:space="0"/>
              <w:bottom w:val="single" w:color="000000" w:sz="4" w:space="0"/>
              <w:right w:val="single" w:color="000000" w:sz="4" w:space="0"/>
            </w:tcBorders>
            <w:vAlign w:val="center"/>
          </w:tcPr>
          <w:p w14:paraId="7032D98D">
            <w:pPr>
              <w:widowControl/>
              <w:snapToGrid w:val="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465</w:t>
            </w:r>
          </w:p>
        </w:tc>
        <w:tc>
          <w:tcPr>
            <w:tcW w:w="1942" w:type="dxa"/>
            <w:vMerge w:val="continue"/>
            <w:tcBorders>
              <w:top w:val="nil"/>
              <w:left w:val="single" w:color="000000" w:sz="4" w:space="0"/>
              <w:bottom w:val="nil"/>
              <w:right w:val="single" w:color="000000" w:sz="4" w:space="0"/>
            </w:tcBorders>
            <w:vAlign w:val="center"/>
          </w:tcPr>
          <w:p w14:paraId="3CB211E5">
            <w:pPr>
              <w:spacing w:line="360" w:lineRule="auto"/>
              <w:rPr>
                <w:rFonts w:hint="eastAsia" w:ascii="宋体" w:hAnsi="宋体" w:cs="宋体"/>
                <w:color w:val="000000" w:themeColor="text1"/>
                <w:szCs w:val="21"/>
                <w14:textFill>
                  <w14:solidFill>
                    <w14:schemeClr w14:val="tx1"/>
                  </w14:solidFill>
                </w14:textFill>
              </w:rPr>
            </w:pPr>
          </w:p>
        </w:tc>
      </w:tr>
      <w:tr w14:paraId="214B7422">
        <w:tblPrEx>
          <w:tblCellMar>
            <w:top w:w="0" w:type="dxa"/>
            <w:left w:w="108" w:type="dxa"/>
            <w:bottom w:w="0" w:type="dxa"/>
            <w:right w:w="108" w:type="dxa"/>
          </w:tblCellMar>
        </w:tblPrEx>
        <w:trPr>
          <w:trHeight w:val="397" w:hRule="atLeast"/>
        </w:trPr>
        <w:tc>
          <w:tcPr>
            <w:tcW w:w="721" w:type="dxa"/>
            <w:tcBorders>
              <w:top w:val="single" w:color="000000" w:sz="4" w:space="0"/>
              <w:left w:val="single" w:color="000000" w:sz="4" w:space="0"/>
              <w:bottom w:val="single" w:color="auto" w:sz="4" w:space="0"/>
              <w:right w:val="single" w:color="000000" w:sz="4" w:space="0"/>
            </w:tcBorders>
            <w:vAlign w:val="center"/>
          </w:tcPr>
          <w:p w14:paraId="1BAB4CB3">
            <w:pPr>
              <w:widowControl/>
              <w:snapToGrid w:val="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2425" w:type="dxa"/>
            <w:tcBorders>
              <w:top w:val="single" w:color="000000" w:sz="4" w:space="0"/>
              <w:left w:val="single" w:color="000000" w:sz="4" w:space="0"/>
              <w:bottom w:val="single" w:color="auto" w:sz="4" w:space="0"/>
              <w:right w:val="single" w:color="000000" w:sz="4" w:space="0"/>
            </w:tcBorders>
            <w:vAlign w:val="center"/>
          </w:tcPr>
          <w:p w14:paraId="3909C053">
            <w:pPr>
              <w:pStyle w:val="66"/>
              <w:spacing w:line="240" w:lineRule="auto"/>
              <w:jc w:val="center"/>
              <w:rPr>
                <w:rFonts w:hint="eastAsia"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100（含）以上</w:t>
            </w:r>
          </w:p>
        </w:tc>
        <w:tc>
          <w:tcPr>
            <w:tcW w:w="1938" w:type="dxa"/>
            <w:tcBorders>
              <w:top w:val="single" w:color="000000" w:sz="4" w:space="0"/>
              <w:left w:val="single" w:color="000000" w:sz="4" w:space="0"/>
              <w:bottom w:val="single" w:color="auto" w:sz="4" w:space="0"/>
              <w:right w:val="single" w:color="000000" w:sz="4" w:space="0"/>
            </w:tcBorders>
            <w:vAlign w:val="center"/>
          </w:tcPr>
          <w:p w14:paraId="37E2EABF">
            <w:pPr>
              <w:widowControl/>
              <w:snapToGrid w:val="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元/天/艘</w:t>
            </w:r>
          </w:p>
        </w:tc>
        <w:tc>
          <w:tcPr>
            <w:tcW w:w="2237" w:type="dxa"/>
            <w:tcBorders>
              <w:top w:val="single" w:color="000000" w:sz="4" w:space="0"/>
              <w:left w:val="single" w:color="000000" w:sz="4" w:space="0"/>
              <w:bottom w:val="single" w:color="auto" w:sz="4" w:space="0"/>
              <w:right w:val="single" w:color="000000" w:sz="4" w:space="0"/>
            </w:tcBorders>
            <w:vAlign w:val="center"/>
          </w:tcPr>
          <w:p w14:paraId="6C4B362F">
            <w:pPr>
              <w:widowControl/>
              <w:snapToGrid w:val="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595</w:t>
            </w:r>
          </w:p>
        </w:tc>
        <w:tc>
          <w:tcPr>
            <w:tcW w:w="1942" w:type="dxa"/>
            <w:vMerge w:val="continue"/>
            <w:tcBorders>
              <w:top w:val="nil"/>
              <w:left w:val="single" w:color="000000" w:sz="4" w:space="0"/>
              <w:bottom w:val="single" w:color="auto" w:sz="4" w:space="0"/>
              <w:right w:val="single" w:color="000000" w:sz="4" w:space="0"/>
            </w:tcBorders>
            <w:vAlign w:val="center"/>
          </w:tcPr>
          <w:p w14:paraId="238403DB">
            <w:pPr>
              <w:spacing w:line="360" w:lineRule="auto"/>
              <w:rPr>
                <w:rFonts w:hint="eastAsia" w:ascii="宋体" w:hAnsi="宋体" w:cs="宋体"/>
                <w:color w:val="000000" w:themeColor="text1"/>
                <w:szCs w:val="21"/>
                <w14:textFill>
                  <w14:solidFill>
                    <w14:schemeClr w14:val="tx1"/>
                  </w14:solidFill>
                </w14:textFill>
              </w:rPr>
            </w:pPr>
          </w:p>
        </w:tc>
      </w:tr>
    </w:tbl>
    <w:p w14:paraId="12C70E6F">
      <w:pPr>
        <w:pStyle w:val="28"/>
        <w:spacing w:before="0" w:beforeAutospacing="0" w:after="0" w:line="336" w:lineRule="auto"/>
        <w:ind w:left="0" w:leftChars="0" w:firstLine="420" w:firstLineChars="0"/>
        <w:jc w:val="left"/>
        <w:rPr>
          <w:rFonts w:ascii="宋体" w:cs="宋体"/>
          <w:b/>
          <w:bCs/>
          <w:color w:val="000000" w:themeColor="text1"/>
          <w:szCs w:val="21"/>
          <w14:textFill>
            <w14:solidFill>
              <w14:schemeClr w14:val="tx1"/>
            </w14:solidFill>
          </w14:textFill>
        </w:rPr>
      </w:pPr>
      <w:r>
        <w:rPr>
          <w:rFonts w:hint="eastAsia" w:ascii="宋体" w:cs="宋体"/>
          <w:b/>
          <w:bCs/>
          <w:color w:val="000000" w:themeColor="text1"/>
          <w:szCs w:val="21"/>
          <w14:textFill>
            <w14:solidFill>
              <w14:schemeClr w14:val="tx1"/>
            </w14:solidFill>
          </w14:textFill>
        </w:rPr>
        <w:t>（二）服务要求</w:t>
      </w:r>
    </w:p>
    <w:p w14:paraId="42ACE58C">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ascii="宋体" w:cs="宋体"/>
          <w:color w:val="000000" w:themeColor="text1"/>
          <w:szCs w:val="21"/>
          <w14:textFill>
            <w14:solidFill>
              <w14:schemeClr w14:val="tx1"/>
            </w14:solidFill>
          </w14:textFill>
        </w:rPr>
        <w:t>1.</w:t>
      </w:r>
      <w:r>
        <w:rPr>
          <w:rFonts w:hint="eastAsia" w:ascii="宋体" w:cs="宋体"/>
          <w:color w:val="000000" w:themeColor="text1"/>
          <w:szCs w:val="21"/>
          <w14:textFill>
            <w14:solidFill>
              <w14:schemeClr w14:val="tx1"/>
            </w14:solidFill>
          </w14:textFill>
        </w:rPr>
        <w:t>响应供应商须具有固定的船舶保管场所。该场所须具备相应的保管条件（应符合国家以及相关主管部门的安全、消防等相关管理要求）。</w:t>
      </w:r>
    </w:p>
    <w:p w14:paraId="1E6A5E22">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2.协议期内，未经江门海关同意，不得擅自改变船舶保管场所。（需提供场地所有权证明或租赁协议）。</w:t>
      </w:r>
    </w:p>
    <w:p w14:paraId="45172266">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3</w:t>
      </w:r>
      <w:r>
        <w:rPr>
          <w:rFonts w:ascii="宋体" w:cs="宋体"/>
          <w:color w:val="000000" w:themeColor="text1"/>
          <w:szCs w:val="21"/>
          <w14:textFill>
            <w14:solidFill>
              <w14:schemeClr w14:val="tx1"/>
            </w14:solidFill>
          </w14:textFill>
        </w:rPr>
        <w:t>.</w:t>
      </w:r>
      <w:r>
        <w:rPr>
          <w:rFonts w:hint="eastAsia" w:ascii="宋体" w:cs="宋体"/>
          <w:color w:val="000000" w:themeColor="text1"/>
          <w:szCs w:val="21"/>
          <w14:textFill>
            <w14:solidFill>
              <w14:schemeClr w14:val="tx1"/>
            </w14:solidFill>
          </w14:textFill>
        </w:rPr>
        <w:t>船舶转移责任：</w:t>
      </w:r>
      <w:r>
        <w:rPr>
          <w:rFonts w:hint="eastAsia" w:ascii="宋体" w:cs="宋体"/>
          <w:color w:val="000000" w:themeColor="text1"/>
          <w:szCs w:val="21"/>
          <w:lang w:val="en-US" w:eastAsia="zh-CN"/>
          <w14:textFill>
            <w14:solidFill>
              <w14:schemeClr w14:val="tx1"/>
            </w14:solidFill>
          </w14:textFill>
        </w:rPr>
        <w:t>成交</w:t>
      </w:r>
      <w:r>
        <w:rPr>
          <w:rFonts w:hint="eastAsia" w:ascii="宋体" w:cs="宋体"/>
          <w:color w:val="000000" w:themeColor="text1"/>
          <w:szCs w:val="21"/>
          <w14:textFill>
            <w14:solidFill>
              <w14:schemeClr w14:val="tx1"/>
            </w14:solidFill>
          </w14:textFill>
        </w:rPr>
        <w:t>供应商须负责将江门海关指定的、在服务开始前已由原保管方保管的涉案船舶，安全转移至本次成交供应商的保管场地。转移工作须制定详细方案，确保船舶安全，并服从江门海关协调指挥。</w:t>
      </w:r>
    </w:p>
    <w:p w14:paraId="24CA4749">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4</w:t>
      </w:r>
      <w:r>
        <w:rPr>
          <w:rFonts w:ascii="宋体" w:cs="宋体"/>
          <w:color w:val="000000" w:themeColor="text1"/>
          <w:szCs w:val="21"/>
          <w14:textFill>
            <w14:solidFill>
              <w14:schemeClr w14:val="tx1"/>
            </w14:solidFill>
          </w14:textFill>
        </w:rPr>
        <w:t>.</w:t>
      </w:r>
      <w:r>
        <w:rPr>
          <w:rFonts w:hint="eastAsia" w:ascii="宋体" w:cs="宋体"/>
          <w:color w:val="000000" w:themeColor="text1"/>
          <w:szCs w:val="21"/>
          <w14:textFill>
            <w14:solidFill>
              <w14:schemeClr w14:val="tx1"/>
            </w14:solidFill>
          </w14:textFill>
        </w:rPr>
        <w:t>响应供应商应具有健全的经营管理制度和安全管理制度以及生产安全事故应急预案；依法设置安全生产管理机构或者配备专职安全管理人员；应设立相应的船舶服务团队人员。</w:t>
      </w:r>
    </w:p>
    <w:p w14:paraId="045F996C">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5</w:t>
      </w:r>
      <w:r>
        <w:rPr>
          <w:rFonts w:ascii="宋体" w:cs="宋体"/>
          <w:color w:val="000000" w:themeColor="text1"/>
          <w:szCs w:val="21"/>
          <w14:textFill>
            <w14:solidFill>
              <w14:schemeClr w14:val="tx1"/>
            </w14:solidFill>
          </w14:textFill>
        </w:rPr>
        <w:t>.</w:t>
      </w:r>
      <w:r>
        <w:rPr>
          <w:rFonts w:hint="eastAsia" w:ascii="宋体" w:cs="宋体"/>
          <w:color w:val="000000" w:themeColor="text1"/>
          <w:szCs w:val="21"/>
          <w14:textFill>
            <w14:solidFill>
              <w14:schemeClr w14:val="tx1"/>
            </w14:solidFill>
          </w14:textFill>
        </w:rPr>
        <w:t>响应供应商应具有健全的财务制度，按照江门海关要求设立独立船舶账册，如实记录船舶的进出情况。</w:t>
      </w:r>
    </w:p>
    <w:p w14:paraId="03405920">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6</w:t>
      </w:r>
      <w:r>
        <w:rPr>
          <w:rFonts w:ascii="宋体" w:cs="宋体"/>
          <w:color w:val="000000" w:themeColor="text1"/>
          <w:szCs w:val="21"/>
          <w14:textFill>
            <w14:solidFill>
              <w14:schemeClr w14:val="tx1"/>
            </w14:solidFill>
          </w14:textFill>
        </w:rPr>
        <w:t>.</w:t>
      </w:r>
      <w:r>
        <w:rPr>
          <w:rFonts w:hint="eastAsia" w:ascii="宋体" w:cs="宋体"/>
          <w:color w:val="000000" w:themeColor="text1"/>
          <w:szCs w:val="21"/>
          <w14:textFill>
            <w14:solidFill>
              <w14:schemeClr w14:val="tx1"/>
            </w14:solidFill>
          </w14:textFill>
        </w:rPr>
        <w:t>响应供应商应加强消防知识培训，配备必要的消防设施，一年进行一次消防演练；加强日常巡查，防范火灾、失窃等安全事故。</w:t>
      </w:r>
    </w:p>
    <w:p w14:paraId="6B9F550F">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7</w:t>
      </w:r>
      <w:r>
        <w:rPr>
          <w:rFonts w:ascii="宋体" w:cs="宋体"/>
          <w:color w:val="000000" w:themeColor="text1"/>
          <w:szCs w:val="21"/>
          <w14:textFill>
            <w14:solidFill>
              <w14:schemeClr w14:val="tx1"/>
            </w14:solidFill>
          </w14:textFill>
        </w:rPr>
        <w:t>.</w:t>
      </w:r>
      <w:r>
        <w:rPr>
          <w:rFonts w:hint="eastAsia" w:ascii="宋体" w:cs="宋体"/>
          <w:color w:val="000000" w:themeColor="text1"/>
          <w:szCs w:val="21"/>
          <w14:textFill>
            <w14:solidFill>
              <w14:schemeClr w14:val="tx1"/>
            </w14:solidFill>
          </w14:textFill>
        </w:rPr>
        <w:t>响应供应商应具备良好的服务体系，全天候24小时及时协助江门海关组织船舶保管作业能力。</w:t>
      </w:r>
    </w:p>
    <w:p w14:paraId="22088761">
      <w:pPr>
        <w:pStyle w:val="28"/>
        <w:spacing w:before="0" w:beforeAutospacing="0" w:after="0" w:line="336" w:lineRule="auto"/>
        <w:ind w:left="0" w:leftChars="0" w:firstLine="420"/>
        <w:rPr>
          <w:rFonts w:hint="eastAsia"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8</w:t>
      </w:r>
      <w:r>
        <w:rPr>
          <w:rFonts w:ascii="宋体" w:cs="宋体"/>
          <w:color w:val="000000" w:themeColor="text1"/>
          <w:szCs w:val="21"/>
          <w14:textFill>
            <w14:solidFill>
              <w14:schemeClr w14:val="tx1"/>
            </w14:solidFill>
          </w14:textFill>
        </w:rPr>
        <w:t>.</w:t>
      </w:r>
      <w:r>
        <w:rPr>
          <w:rFonts w:hint="eastAsia" w:ascii="宋体" w:cs="宋体"/>
          <w:color w:val="000000" w:themeColor="text1"/>
          <w:szCs w:val="21"/>
          <w14:textFill>
            <w14:solidFill>
              <w14:schemeClr w14:val="tx1"/>
            </w14:solidFill>
          </w14:textFill>
        </w:rPr>
        <w:t>在协议期内，保管船舶所产生的费用由成交供应商承担（含船舶保险费用），保管物自交付时风险发生转移。</w:t>
      </w:r>
    </w:p>
    <w:p w14:paraId="2D7B32B0">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lang w:val="en-US" w:eastAsia="zh-CN"/>
          <w14:textFill>
            <w14:solidFill>
              <w14:schemeClr w14:val="tx1"/>
            </w14:solidFill>
          </w14:textFill>
        </w:rPr>
        <w:t>9.</w:t>
      </w:r>
      <w:r>
        <w:rPr>
          <w:rFonts w:hint="eastAsia" w:ascii="宋体" w:cs="宋体"/>
          <w:color w:val="000000" w:themeColor="text1"/>
          <w:szCs w:val="21"/>
          <w14:textFill>
            <w14:solidFill>
              <w14:schemeClr w14:val="tx1"/>
            </w14:solidFill>
          </w14:textFill>
        </w:rPr>
        <w:t>保管期间，船舶或其部件被盗和因保管不善造成存放船舶搁浅、损坏、沉没的成交供应商应当承担损害赔偿责任。</w:t>
      </w:r>
      <w:r>
        <w:rPr>
          <w:rFonts w:hint="eastAsia" w:ascii="宋体" w:cs="宋体"/>
          <w:color w:val="000000" w:themeColor="text1"/>
          <w:szCs w:val="21"/>
          <w14:textFill>
            <w14:solidFill>
              <w14:schemeClr w14:val="tx1"/>
            </w14:solidFill>
          </w14:textFill>
        </w:rPr>
        <w:tab/>
      </w:r>
    </w:p>
    <w:p w14:paraId="4B7FCFC3">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lang w:val="en-US" w:eastAsia="zh-CN"/>
          <w14:textFill>
            <w14:solidFill>
              <w14:schemeClr w14:val="tx1"/>
            </w14:solidFill>
          </w14:textFill>
        </w:rPr>
        <w:t>10</w:t>
      </w:r>
      <w:r>
        <w:rPr>
          <w:rFonts w:ascii="宋体" w:cs="宋体"/>
          <w:color w:val="000000" w:themeColor="text1"/>
          <w:szCs w:val="21"/>
          <w14:textFill>
            <w14:solidFill>
              <w14:schemeClr w14:val="tx1"/>
            </w14:solidFill>
          </w14:textFill>
        </w:rPr>
        <w:t>.</w:t>
      </w:r>
      <w:r>
        <w:rPr>
          <w:rFonts w:hint="eastAsia" w:ascii="宋体" w:cs="宋体"/>
          <w:color w:val="000000" w:themeColor="text1"/>
          <w:szCs w:val="21"/>
          <w14:textFill>
            <w14:solidFill>
              <w14:schemeClr w14:val="tx1"/>
            </w14:solidFill>
          </w14:textFill>
        </w:rPr>
        <w:t>响应供应商在营业执照存续期间，开展装卸、运输、理货等工作中出现因不规范操作被相关行政管理部门处罚、违反有关法律被提起诉讼、列入失信名单的不得参与响应。</w:t>
      </w:r>
    </w:p>
    <w:p w14:paraId="62317F8C">
      <w:pPr>
        <w:pStyle w:val="28"/>
        <w:spacing w:before="0" w:beforeAutospacing="0" w:after="0" w:line="336" w:lineRule="auto"/>
        <w:ind w:left="0" w:leftChars="0" w:firstLine="420" w:firstLineChars="0"/>
        <w:jc w:val="left"/>
        <w:rPr>
          <w:rFonts w:ascii="宋体" w:cs="宋体"/>
          <w:b/>
          <w:bCs/>
          <w:color w:val="000000" w:themeColor="text1"/>
          <w:szCs w:val="21"/>
          <w14:textFill>
            <w14:solidFill>
              <w14:schemeClr w14:val="tx1"/>
            </w14:solidFill>
          </w14:textFill>
        </w:rPr>
      </w:pPr>
      <w:r>
        <w:rPr>
          <w:rFonts w:hint="eastAsia" w:ascii="宋体" w:cs="宋体"/>
          <w:b/>
          <w:bCs/>
          <w:color w:val="000000" w:themeColor="text1"/>
          <w:szCs w:val="21"/>
          <w14:textFill>
            <w14:solidFill>
              <w14:schemeClr w14:val="tx1"/>
            </w14:solidFill>
          </w14:textFill>
        </w:rPr>
        <w:t>（三）服务内容</w:t>
      </w:r>
    </w:p>
    <w:p w14:paraId="1981C7DD">
      <w:pPr>
        <w:pStyle w:val="28"/>
        <w:spacing w:before="0" w:beforeAutospacing="0" w:after="0" w:line="336" w:lineRule="auto"/>
        <w:ind w:left="0" w:leftChars="0" w:firstLine="422"/>
        <w:rPr>
          <w:rFonts w:ascii="宋体" w:cs="宋体"/>
          <w:b/>
          <w:bCs/>
          <w:color w:val="000000" w:themeColor="text1"/>
          <w:szCs w:val="21"/>
          <w14:textFill>
            <w14:solidFill>
              <w14:schemeClr w14:val="tx1"/>
            </w14:solidFill>
          </w14:textFill>
        </w:rPr>
      </w:pPr>
      <w:r>
        <w:rPr>
          <w:rFonts w:hint="eastAsia" w:ascii="宋体" w:cs="宋体"/>
          <w:b/>
          <w:bCs/>
          <w:color w:val="000000" w:themeColor="text1"/>
          <w:szCs w:val="21"/>
          <w14:textFill>
            <w14:solidFill>
              <w14:schemeClr w14:val="tx1"/>
            </w14:solidFill>
          </w14:textFill>
        </w:rPr>
        <w:t>1.涉案财物入库</w:t>
      </w:r>
    </w:p>
    <w:p w14:paraId="531C7BF1">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ascii="宋体" w:cs="宋体"/>
          <w:color w:val="000000" w:themeColor="text1"/>
          <w:szCs w:val="21"/>
          <w14:textFill>
            <w14:solidFill>
              <w14:schemeClr w14:val="tx1"/>
            </w14:solidFill>
          </w14:textFill>
        </w:rPr>
        <w:t>（</w:t>
      </w:r>
      <w:r>
        <w:rPr>
          <w:rFonts w:hint="eastAsia" w:ascii="宋体" w:cs="宋体"/>
          <w:color w:val="000000" w:themeColor="text1"/>
          <w:szCs w:val="21"/>
          <w14:textFill>
            <w14:solidFill>
              <w14:schemeClr w14:val="tx1"/>
            </w14:solidFill>
          </w14:textFill>
        </w:rPr>
        <w:t>1</w:t>
      </w:r>
      <w:r>
        <w:rPr>
          <w:rFonts w:ascii="宋体" w:cs="宋体"/>
          <w:color w:val="000000" w:themeColor="text1"/>
          <w:szCs w:val="21"/>
          <w14:textFill>
            <w14:solidFill>
              <w14:schemeClr w14:val="tx1"/>
            </w14:solidFill>
          </w14:textFill>
        </w:rPr>
        <w:t>）入库责任保全：双方以“原样保管”为责任准则，即</w:t>
      </w:r>
      <w:r>
        <w:rPr>
          <w:rFonts w:hint="eastAsia" w:ascii="宋体" w:cs="宋体"/>
          <w:color w:val="000000" w:themeColor="text1"/>
          <w:szCs w:val="21"/>
          <w14:textFill>
            <w14:solidFill>
              <w14:schemeClr w14:val="tx1"/>
            </w14:solidFill>
          </w14:textFill>
        </w:rPr>
        <w:t>成交供应商</w:t>
      </w:r>
      <w:r>
        <w:rPr>
          <w:rFonts w:ascii="宋体" w:cs="宋体"/>
          <w:color w:val="000000" w:themeColor="text1"/>
          <w:szCs w:val="21"/>
          <w14:textFill>
            <w14:solidFill>
              <w14:schemeClr w14:val="tx1"/>
            </w14:solidFill>
          </w14:textFill>
        </w:rPr>
        <w:t>接受</w:t>
      </w:r>
      <w:r>
        <w:rPr>
          <w:rFonts w:hint="eastAsia" w:ascii="宋体" w:cs="宋体"/>
          <w:color w:val="000000" w:themeColor="text1"/>
          <w:szCs w:val="21"/>
          <w14:textFill>
            <w14:solidFill>
              <w14:schemeClr w14:val="tx1"/>
            </w14:solidFill>
          </w14:textFill>
        </w:rPr>
        <w:t>江门海关</w:t>
      </w:r>
      <w:r>
        <w:rPr>
          <w:rFonts w:ascii="宋体" w:cs="宋体"/>
          <w:color w:val="000000" w:themeColor="text1"/>
          <w:szCs w:val="21"/>
          <w14:textFill>
            <w14:solidFill>
              <w14:schemeClr w14:val="tx1"/>
            </w14:solidFill>
          </w14:textFill>
        </w:rPr>
        <w:t>委托保管的涉案财物，须确保入库状态和出库状态的一致性。</w:t>
      </w:r>
    </w:p>
    <w:p w14:paraId="7949F759">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ascii="宋体" w:cs="宋体"/>
          <w:color w:val="000000" w:themeColor="text1"/>
          <w:szCs w:val="21"/>
          <w14:textFill>
            <w14:solidFill>
              <w14:schemeClr w14:val="tx1"/>
            </w14:solidFill>
          </w14:textFill>
        </w:rPr>
        <w:t>（</w:t>
      </w:r>
      <w:r>
        <w:rPr>
          <w:rFonts w:hint="eastAsia" w:ascii="宋体" w:cs="宋体"/>
          <w:color w:val="000000" w:themeColor="text1"/>
          <w:szCs w:val="21"/>
          <w14:textFill>
            <w14:solidFill>
              <w14:schemeClr w14:val="tx1"/>
            </w14:solidFill>
          </w14:textFill>
        </w:rPr>
        <w:t>2</w:t>
      </w:r>
      <w:r>
        <w:rPr>
          <w:rFonts w:ascii="宋体" w:cs="宋体"/>
          <w:color w:val="000000" w:themeColor="text1"/>
          <w:szCs w:val="21"/>
          <w14:textFill>
            <w14:solidFill>
              <w14:schemeClr w14:val="tx1"/>
            </w14:solidFill>
          </w14:textFill>
        </w:rPr>
        <w:t>）</w:t>
      </w:r>
      <w:r>
        <w:rPr>
          <w:rFonts w:hint="eastAsia" w:ascii="宋体" w:cs="宋体"/>
          <w:color w:val="000000" w:themeColor="text1"/>
          <w:szCs w:val="21"/>
          <w14:textFill>
            <w14:solidFill>
              <w14:schemeClr w14:val="tx1"/>
            </w14:solidFill>
          </w14:textFill>
        </w:rPr>
        <w:t>江门海关</w:t>
      </w:r>
      <w:r>
        <w:rPr>
          <w:rFonts w:ascii="宋体" w:cs="宋体"/>
          <w:color w:val="000000" w:themeColor="text1"/>
          <w:szCs w:val="21"/>
          <w14:textFill>
            <w14:solidFill>
              <w14:schemeClr w14:val="tx1"/>
            </w14:solidFill>
          </w14:textFill>
        </w:rPr>
        <w:t>与</w:t>
      </w:r>
      <w:r>
        <w:rPr>
          <w:rFonts w:hint="eastAsia" w:ascii="宋体" w:cs="宋体"/>
          <w:color w:val="000000" w:themeColor="text1"/>
          <w:szCs w:val="21"/>
          <w14:textFill>
            <w14:solidFill>
              <w14:schemeClr w14:val="tx1"/>
            </w14:solidFill>
          </w14:textFill>
        </w:rPr>
        <w:t>成交供应商</w:t>
      </w:r>
      <w:r>
        <w:rPr>
          <w:rFonts w:ascii="宋体" w:cs="宋体"/>
          <w:color w:val="000000" w:themeColor="text1"/>
          <w:szCs w:val="21"/>
          <w14:textFill>
            <w14:solidFill>
              <w14:schemeClr w14:val="tx1"/>
            </w14:solidFill>
          </w14:textFill>
        </w:rPr>
        <w:t>办理涉案财物入库手续时，双方应当场共同清点，确定、核对入库涉案财物的数量（重量）、规格、品名、型号、包装方式、货物（物品）瑕疵情况等，确保入库清单登记内容与实际存放的涉案财物一致，由双方在入库清单上签字确认。</w:t>
      </w:r>
    </w:p>
    <w:p w14:paraId="209546B8">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ascii="宋体" w:cs="宋体"/>
          <w:color w:val="000000" w:themeColor="text1"/>
          <w:szCs w:val="21"/>
          <w14:textFill>
            <w14:solidFill>
              <w14:schemeClr w14:val="tx1"/>
            </w14:solidFill>
          </w14:textFill>
        </w:rPr>
        <w:t>（</w:t>
      </w:r>
      <w:r>
        <w:rPr>
          <w:rFonts w:hint="eastAsia" w:ascii="宋体" w:cs="宋体"/>
          <w:color w:val="000000" w:themeColor="text1"/>
          <w:szCs w:val="21"/>
          <w14:textFill>
            <w14:solidFill>
              <w14:schemeClr w14:val="tx1"/>
            </w14:solidFill>
          </w14:textFill>
        </w:rPr>
        <w:t>3</w:t>
      </w:r>
      <w:r>
        <w:rPr>
          <w:rFonts w:ascii="宋体" w:cs="宋体"/>
          <w:color w:val="000000" w:themeColor="text1"/>
          <w:szCs w:val="21"/>
          <w14:textFill>
            <w14:solidFill>
              <w14:schemeClr w14:val="tx1"/>
            </w14:solidFill>
          </w14:textFill>
        </w:rPr>
        <w:t>）涉案财物检验检疫、鉴定结论与入库清单登记内容不一致的，以检验检疫、鉴定结论为准，</w:t>
      </w:r>
      <w:r>
        <w:rPr>
          <w:rFonts w:hint="eastAsia" w:ascii="宋体" w:cs="宋体"/>
          <w:color w:val="000000" w:themeColor="text1"/>
          <w:szCs w:val="21"/>
          <w14:textFill>
            <w14:solidFill>
              <w14:schemeClr w14:val="tx1"/>
            </w14:solidFill>
          </w14:textFill>
        </w:rPr>
        <w:t>江门海关</w:t>
      </w:r>
      <w:r>
        <w:rPr>
          <w:rFonts w:ascii="宋体" w:cs="宋体"/>
          <w:color w:val="000000" w:themeColor="text1"/>
          <w:szCs w:val="21"/>
          <w14:textFill>
            <w14:solidFill>
              <w14:schemeClr w14:val="tx1"/>
            </w14:solidFill>
          </w14:textFill>
        </w:rPr>
        <w:t>应会同</w:t>
      </w:r>
      <w:r>
        <w:rPr>
          <w:rFonts w:hint="eastAsia" w:ascii="宋体" w:cs="宋体"/>
          <w:color w:val="000000" w:themeColor="text1"/>
          <w:szCs w:val="21"/>
          <w14:textFill>
            <w14:solidFill>
              <w14:schemeClr w14:val="tx1"/>
            </w14:solidFill>
          </w14:textFill>
        </w:rPr>
        <w:t>成交供应商</w:t>
      </w:r>
      <w:r>
        <w:rPr>
          <w:rFonts w:ascii="宋体" w:cs="宋体"/>
          <w:color w:val="000000" w:themeColor="text1"/>
          <w:szCs w:val="21"/>
          <w14:textFill>
            <w14:solidFill>
              <w14:schemeClr w14:val="tx1"/>
            </w14:solidFill>
          </w14:textFill>
        </w:rPr>
        <w:t>对入库清单登记内容进行核实更正；无法对入库清单进行更正的，应另行书面说明，由双方签字确认。有关情况应及时书面通报</w:t>
      </w:r>
      <w:r>
        <w:rPr>
          <w:rFonts w:hint="eastAsia" w:ascii="宋体" w:cs="宋体"/>
          <w:color w:val="000000" w:themeColor="text1"/>
          <w:szCs w:val="21"/>
          <w14:textFill>
            <w14:solidFill>
              <w14:schemeClr w14:val="tx1"/>
            </w14:solidFill>
          </w14:textFill>
        </w:rPr>
        <w:t>江门海关</w:t>
      </w:r>
      <w:r>
        <w:rPr>
          <w:rFonts w:ascii="宋体" w:cs="宋体"/>
          <w:color w:val="000000" w:themeColor="text1"/>
          <w:szCs w:val="21"/>
          <w14:textFill>
            <w14:solidFill>
              <w14:schemeClr w14:val="tx1"/>
            </w14:solidFill>
          </w14:textFill>
        </w:rPr>
        <w:t>财务部门。</w:t>
      </w:r>
    </w:p>
    <w:p w14:paraId="6BF88B61">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ascii="宋体" w:cs="宋体"/>
          <w:color w:val="000000" w:themeColor="text1"/>
          <w:szCs w:val="21"/>
          <w14:textFill>
            <w14:solidFill>
              <w14:schemeClr w14:val="tx1"/>
            </w14:solidFill>
          </w14:textFill>
        </w:rPr>
        <w:t>（</w:t>
      </w:r>
      <w:r>
        <w:rPr>
          <w:rFonts w:hint="eastAsia" w:ascii="宋体" w:cs="宋体"/>
          <w:color w:val="000000" w:themeColor="text1"/>
          <w:szCs w:val="21"/>
          <w14:textFill>
            <w14:solidFill>
              <w14:schemeClr w14:val="tx1"/>
            </w14:solidFill>
          </w14:textFill>
        </w:rPr>
        <w:t>4</w:t>
      </w:r>
      <w:r>
        <w:rPr>
          <w:rFonts w:ascii="宋体" w:cs="宋体"/>
          <w:color w:val="000000" w:themeColor="text1"/>
          <w:szCs w:val="21"/>
          <w14:textFill>
            <w14:solidFill>
              <w14:schemeClr w14:val="tx1"/>
            </w14:solidFill>
          </w14:textFill>
        </w:rPr>
        <w:t>）对贵重、敏感涉案财物，双方应在入库清点时，进行称重、测量尺寸、拍照、录像等证据固定，同时对涉案财物总貌和细部特征进行固定。</w:t>
      </w:r>
    </w:p>
    <w:p w14:paraId="34EE4405">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ascii="宋体" w:cs="宋体"/>
          <w:color w:val="000000" w:themeColor="text1"/>
          <w:szCs w:val="21"/>
          <w14:textFill>
            <w14:solidFill>
              <w14:schemeClr w14:val="tx1"/>
            </w14:solidFill>
          </w14:textFill>
        </w:rPr>
        <w:t>（</w:t>
      </w:r>
      <w:r>
        <w:rPr>
          <w:rFonts w:hint="eastAsia" w:ascii="宋体" w:cs="宋体"/>
          <w:color w:val="000000" w:themeColor="text1"/>
          <w:szCs w:val="21"/>
          <w14:textFill>
            <w14:solidFill>
              <w14:schemeClr w14:val="tx1"/>
            </w14:solidFill>
          </w14:textFill>
        </w:rPr>
        <w:t>5</w:t>
      </w:r>
      <w:r>
        <w:rPr>
          <w:rFonts w:ascii="宋体" w:cs="宋体"/>
          <w:color w:val="000000" w:themeColor="text1"/>
          <w:szCs w:val="21"/>
          <w14:textFill>
            <w14:solidFill>
              <w14:schemeClr w14:val="tx1"/>
            </w14:solidFill>
          </w14:textFill>
        </w:rPr>
        <w:t>）</w:t>
      </w:r>
      <w:r>
        <w:rPr>
          <w:rFonts w:hint="eastAsia" w:ascii="宋体" w:cs="宋体"/>
          <w:color w:val="000000" w:themeColor="text1"/>
          <w:szCs w:val="21"/>
          <w14:textFill>
            <w14:solidFill>
              <w14:schemeClr w14:val="tx1"/>
            </w14:solidFill>
          </w14:textFill>
        </w:rPr>
        <w:t>成交供应商</w:t>
      </w:r>
      <w:r>
        <w:rPr>
          <w:rFonts w:ascii="宋体" w:cs="宋体"/>
          <w:color w:val="000000" w:themeColor="text1"/>
          <w:szCs w:val="21"/>
          <w14:textFill>
            <w14:solidFill>
              <w14:schemeClr w14:val="tx1"/>
            </w14:solidFill>
          </w14:textFill>
        </w:rPr>
        <w:t>根据保管需要对入库涉案财物进行施封保管的，施封手续应由</w:t>
      </w:r>
      <w:r>
        <w:rPr>
          <w:rFonts w:hint="eastAsia" w:ascii="宋体" w:cs="宋体"/>
          <w:color w:val="000000" w:themeColor="text1"/>
          <w:szCs w:val="21"/>
          <w14:textFill>
            <w14:solidFill>
              <w14:schemeClr w14:val="tx1"/>
            </w14:solidFill>
          </w14:textFill>
        </w:rPr>
        <w:t>江门海关</w:t>
      </w:r>
      <w:r>
        <w:rPr>
          <w:rFonts w:ascii="宋体" w:cs="宋体"/>
          <w:color w:val="000000" w:themeColor="text1"/>
          <w:szCs w:val="21"/>
          <w14:textFill>
            <w14:solidFill>
              <w14:schemeClr w14:val="tx1"/>
            </w14:solidFill>
          </w14:textFill>
        </w:rPr>
        <w:t>业务、办案部门与</w:t>
      </w:r>
      <w:r>
        <w:rPr>
          <w:rFonts w:hint="eastAsia" w:ascii="宋体" w:cs="宋体"/>
          <w:color w:val="000000" w:themeColor="text1"/>
          <w:szCs w:val="21"/>
          <w14:textFill>
            <w14:solidFill>
              <w14:schemeClr w14:val="tx1"/>
            </w14:solidFill>
          </w14:textFill>
        </w:rPr>
        <w:t>成交供应商</w:t>
      </w:r>
      <w:r>
        <w:rPr>
          <w:rFonts w:ascii="宋体" w:cs="宋体"/>
          <w:color w:val="000000" w:themeColor="text1"/>
          <w:szCs w:val="21"/>
          <w14:textFill>
            <w14:solidFill>
              <w14:schemeClr w14:val="tx1"/>
            </w14:solidFill>
          </w14:textFill>
        </w:rPr>
        <w:t>共同完成，封志的开拆及重新施封须由双方到场并签名确认，</w:t>
      </w:r>
      <w:r>
        <w:rPr>
          <w:rFonts w:hint="eastAsia" w:ascii="宋体" w:cs="宋体"/>
          <w:color w:val="000000" w:themeColor="text1"/>
          <w:szCs w:val="21"/>
          <w14:textFill>
            <w14:solidFill>
              <w14:schemeClr w14:val="tx1"/>
            </w14:solidFill>
          </w14:textFill>
        </w:rPr>
        <w:t>成交供应商</w:t>
      </w:r>
      <w:r>
        <w:rPr>
          <w:rFonts w:ascii="宋体" w:cs="宋体"/>
          <w:color w:val="000000" w:themeColor="text1"/>
          <w:szCs w:val="21"/>
          <w14:textFill>
            <w14:solidFill>
              <w14:schemeClr w14:val="tx1"/>
            </w14:solidFill>
          </w14:textFill>
        </w:rPr>
        <w:t>应对相关施封、拆封记录进行登记</w:t>
      </w:r>
      <w:r>
        <w:rPr>
          <w:rFonts w:hint="eastAsia" w:ascii="宋体" w:cs="宋体"/>
          <w:color w:val="000000" w:themeColor="text1"/>
          <w:szCs w:val="21"/>
          <w14:textFill>
            <w14:solidFill>
              <w14:schemeClr w14:val="tx1"/>
            </w14:solidFill>
          </w14:textFill>
        </w:rPr>
        <w:t>。</w:t>
      </w:r>
    </w:p>
    <w:p w14:paraId="338E0BCB">
      <w:pPr>
        <w:pStyle w:val="28"/>
        <w:spacing w:before="0" w:beforeAutospacing="0" w:after="0" w:line="336" w:lineRule="auto"/>
        <w:ind w:left="0" w:leftChars="0" w:firstLine="422"/>
        <w:rPr>
          <w:rFonts w:ascii="宋体" w:cs="宋体"/>
          <w:b/>
          <w:bCs/>
          <w:color w:val="000000" w:themeColor="text1"/>
          <w:szCs w:val="21"/>
          <w14:textFill>
            <w14:solidFill>
              <w14:schemeClr w14:val="tx1"/>
            </w14:solidFill>
          </w14:textFill>
        </w:rPr>
      </w:pPr>
      <w:r>
        <w:rPr>
          <w:rFonts w:hint="eastAsia" w:ascii="宋体" w:cs="宋体"/>
          <w:b/>
          <w:bCs/>
          <w:color w:val="000000" w:themeColor="text1"/>
          <w:szCs w:val="21"/>
          <w14:textFill>
            <w14:solidFill>
              <w14:schemeClr w14:val="tx1"/>
            </w14:solidFill>
          </w14:textFill>
        </w:rPr>
        <w:t>2.涉案财物保管</w:t>
      </w:r>
    </w:p>
    <w:p w14:paraId="1DE18B69">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1）成交供应商应具有仓储业务经营经验以及良好的资信和服务质量，有完善的仓储管理制度和防灾应急机制，严格按照有关制度开展涉案财物保管工作；具有必要的仓储信息化管理系统及应用技术人员，做好仓库日常管理工作。</w:t>
      </w:r>
    </w:p>
    <w:p w14:paraId="7E01B6D8">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2）成交供应商应在涉案财物仓库（库区）中安装必要的闭路电视监控系统，视频监控资料应保存半年以上；加强消防知识培训，配备必要的消防设施，定期进行消防演练；加强仓库日常巡查，防范火灾、失窃等安全事故。</w:t>
      </w:r>
    </w:p>
    <w:p w14:paraId="61D97CBB">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3）成交供应商应对涉案财物进行分类或分案保管，其中，金银珠宝、文物、濒危动植物及其制品等贵重、特殊物品应配备专用设备或设置专用库区存放。对有特殊保管需要的涉案财物，由江门海关业务、办案部门与成交供应商共同商定保管措施，并由成交供应商书面向江门海关财务部门报备。</w:t>
      </w:r>
    </w:p>
    <w:p w14:paraId="2E782B31">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4）涉案财物出现数量不符、单货不符或品质不符等情况的，成交供应商应及时与江门海关业务、办案部门联系核实，共同对实物及有关单据进行核对并研究提出处理意见，有关处理意见应于15个工作日内报江门海关财务部门备案，如需更改入库单的应履行必要的审批手续，江门海关财务部门可视情况进行复核、实地盘查。</w:t>
      </w:r>
    </w:p>
    <w:p w14:paraId="5FB869E4">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5）江门海关作拍卖、变卖处理的涉案财物，应在价格评估前将拍卖、变卖清单发送至成交供应商进行核对，成交供应商如发现单货不一致的情况，应立即将有关情况书面向江门海关反馈，以便江门海关及时作出更改。</w:t>
      </w:r>
    </w:p>
    <w:p w14:paraId="07E21F0F">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6）成交供应商应加强对仓库的巡查工作，涉案财物存放期间发生受潮、变质、腐烂、虫害、损耗、失窃等异常情况的，成交供应商应及时通知江门海关财务部门和相关业务、办案部门到现场核实确认，做好书面记录及保留货样、拍照、录像等证据固定工作，对于火灾、失窃事件，应及时向消防、公安部门报案。</w:t>
      </w:r>
    </w:p>
    <w:p w14:paraId="6F082ACC">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（7）成交供应商应对涉案财物出入库严格把关，每次出入库人员必须登记留档备查。</w:t>
      </w:r>
    </w:p>
    <w:p w14:paraId="66B9D609">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（8）成交供应商应根据江门海关要求通过“互联网+海关”平台完成保管涉案财物的入出库管理和信息推送。</w:t>
      </w:r>
    </w:p>
    <w:p w14:paraId="5E26AA7E">
      <w:pPr>
        <w:pStyle w:val="28"/>
        <w:spacing w:before="0" w:beforeAutospacing="0" w:after="0" w:line="336" w:lineRule="auto"/>
        <w:ind w:left="0" w:leftChars="0" w:firstLine="422"/>
        <w:rPr>
          <w:rFonts w:ascii="宋体" w:cs="宋体"/>
          <w:b/>
          <w:bCs/>
          <w:color w:val="000000" w:themeColor="text1"/>
          <w:szCs w:val="21"/>
          <w14:textFill>
            <w14:solidFill>
              <w14:schemeClr w14:val="tx1"/>
            </w14:solidFill>
          </w14:textFill>
        </w:rPr>
      </w:pPr>
      <w:r>
        <w:rPr>
          <w:rFonts w:hint="eastAsia" w:ascii="宋体" w:cs="宋体"/>
          <w:b/>
          <w:bCs/>
          <w:color w:val="000000" w:themeColor="text1"/>
          <w:szCs w:val="21"/>
          <w14:textFill>
            <w14:solidFill>
              <w14:schemeClr w14:val="tx1"/>
            </w14:solidFill>
          </w14:textFill>
        </w:rPr>
        <w:t>3.涉案财物出库</w:t>
      </w:r>
    </w:p>
    <w:p w14:paraId="28FD53A4">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ascii="宋体" w:cs="宋体"/>
          <w:color w:val="000000" w:themeColor="text1"/>
          <w:szCs w:val="21"/>
          <w14:textFill>
            <w14:solidFill>
              <w14:schemeClr w14:val="tx1"/>
            </w14:solidFill>
          </w14:textFill>
        </w:rPr>
        <w:t>(1)办理涉案财物出库业务的单位或个人应凭</w:t>
      </w:r>
      <w:r>
        <w:rPr>
          <w:rFonts w:hint="eastAsia" w:ascii="宋体" w:cs="宋体"/>
          <w:color w:val="000000" w:themeColor="text1"/>
          <w:szCs w:val="21"/>
          <w14:textFill>
            <w14:solidFill>
              <w14:schemeClr w14:val="tx1"/>
            </w14:solidFill>
          </w14:textFill>
        </w:rPr>
        <w:t>江门海关</w:t>
      </w:r>
      <w:r>
        <w:rPr>
          <w:rFonts w:ascii="宋体" w:cs="宋体"/>
          <w:color w:val="000000" w:themeColor="text1"/>
          <w:szCs w:val="21"/>
          <w14:textFill>
            <w14:solidFill>
              <w14:schemeClr w14:val="tx1"/>
            </w14:solidFill>
          </w14:textFill>
        </w:rPr>
        <w:t>开具的出库单证与</w:t>
      </w:r>
      <w:r>
        <w:rPr>
          <w:rFonts w:hint="eastAsia" w:ascii="宋体" w:cs="宋体"/>
          <w:color w:val="000000" w:themeColor="text1"/>
          <w:szCs w:val="21"/>
          <w14:textFill>
            <w14:solidFill>
              <w14:schemeClr w14:val="tx1"/>
            </w14:solidFill>
          </w14:textFill>
        </w:rPr>
        <w:t>成交供应商</w:t>
      </w:r>
      <w:r>
        <w:rPr>
          <w:rFonts w:ascii="宋体" w:cs="宋体"/>
          <w:color w:val="000000" w:themeColor="text1"/>
          <w:szCs w:val="21"/>
          <w14:textFill>
            <w14:solidFill>
              <w14:schemeClr w14:val="tx1"/>
            </w14:solidFill>
          </w14:textFill>
        </w:rPr>
        <w:t>办理出库手续。</w:t>
      </w:r>
    </w:p>
    <w:p w14:paraId="058FEB52">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ascii="宋体" w:cs="宋体"/>
          <w:color w:val="000000" w:themeColor="text1"/>
          <w:szCs w:val="21"/>
          <w14:textFill>
            <w14:solidFill>
              <w14:schemeClr w14:val="tx1"/>
            </w14:solidFill>
          </w14:textFill>
        </w:rPr>
        <w:t>(2)涉案财物出库时，</w:t>
      </w:r>
      <w:r>
        <w:rPr>
          <w:rFonts w:hint="eastAsia" w:ascii="宋体" w:cs="宋体"/>
          <w:color w:val="000000" w:themeColor="text1"/>
          <w:szCs w:val="21"/>
          <w14:textFill>
            <w14:solidFill>
              <w14:schemeClr w14:val="tx1"/>
            </w14:solidFill>
          </w14:textFill>
        </w:rPr>
        <w:t>成交供应商</w:t>
      </w:r>
      <w:r>
        <w:rPr>
          <w:rFonts w:ascii="宋体" w:cs="宋体"/>
          <w:color w:val="000000" w:themeColor="text1"/>
          <w:szCs w:val="21"/>
          <w14:textFill>
            <w14:solidFill>
              <w14:schemeClr w14:val="tx1"/>
            </w14:solidFill>
          </w14:textFill>
        </w:rPr>
        <w:t>应认真核对出库清单与实物，确认账实相符后方能办理出库手续，如有不符情况应立即向</w:t>
      </w:r>
      <w:r>
        <w:rPr>
          <w:rFonts w:hint="eastAsia" w:ascii="宋体" w:cs="宋体"/>
          <w:color w:val="000000" w:themeColor="text1"/>
          <w:szCs w:val="21"/>
          <w14:textFill>
            <w14:solidFill>
              <w14:schemeClr w14:val="tx1"/>
            </w14:solidFill>
          </w14:textFill>
        </w:rPr>
        <w:t>江门海关</w:t>
      </w:r>
      <w:r>
        <w:rPr>
          <w:rFonts w:ascii="宋体" w:cs="宋体"/>
          <w:color w:val="000000" w:themeColor="text1"/>
          <w:szCs w:val="21"/>
          <w14:textFill>
            <w14:solidFill>
              <w14:schemeClr w14:val="tx1"/>
            </w14:solidFill>
          </w14:textFill>
        </w:rPr>
        <w:t>反馈。</w:t>
      </w:r>
    </w:p>
    <w:p w14:paraId="73F06E25">
      <w:pPr>
        <w:pStyle w:val="28"/>
        <w:spacing w:before="0" w:beforeAutospacing="0" w:after="0" w:line="336" w:lineRule="auto"/>
        <w:ind w:left="0" w:leftChars="0" w:firstLine="422"/>
        <w:rPr>
          <w:rFonts w:ascii="宋体" w:cs="宋体"/>
          <w:b/>
          <w:bCs/>
          <w:color w:val="000000" w:themeColor="text1"/>
          <w:szCs w:val="21"/>
          <w14:textFill>
            <w14:solidFill>
              <w14:schemeClr w14:val="tx1"/>
            </w14:solidFill>
          </w14:textFill>
        </w:rPr>
      </w:pPr>
      <w:r>
        <w:rPr>
          <w:rFonts w:hint="eastAsia" w:ascii="宋体" w:cs="宋体"/>
          <w:b/>
          <w:bCs/>
          <w:color w:val="000000" w:themeColor="text1"/>
          <w:szCs w:val="21"/>
          <w14:textFill>
            <w14:solidFill>
              <w14:schemeClr w14:val="tx1"/>
            </w14:solidFill>
          </w14:textFill>
        </w:rPr>
        <w:t>4.成交供应商应积极配合江门海关开展涉案财物商检、取样、评估勘验、展示等工作。</w:t>
      </w:r>
    </w:p>
    <w:p w14:paraId="37E2188F">
      <w:pPr>
        <w:pStyle w:val="28"/>
        <w:spacing w:before="0" w:beforeAutospacing="0" w:after="0" w:line="336" w:lineRule="auto"/>
        <w:ind w:left="0" w:leftChars="0" w:firstLine="422"/>
        <w:rPr>
          <w:rFonts w:ascii="宋体" w:cs="宋体"/>
          <w:b/>
          <w:bCs/>
          <w:color w:val="000000" w:themeColor="text1"/>
          <w:szCs w:val="21"/>
          <w14:textFill>
            <w14:solidFill>
              <w14:schemeClr w14:val="tx1"/>
            </w14:solidFill>
          </w14:textFill>
        </w:rPr>
      </w:pPr>
      <w:r>
        <w:rPr>
          <w:rFonts w:hint="eastAsia" w:ascii="宋体" w:cs="宋体"/>
          <w:b/>
          <w:bCs/>
          <w:color w:val="000000" w:themeColor="text1"/>
          <w:szCs w:val="21"/>
          <w14:textFill>
            <w14:solidFill>
              <w14:schemeClr w14:val="tx1"/>
            </w14:solidFill>
          </w14:textFill>
        </w:rPr>
        <w:t>5.江门海关依据涉案财物账册每季度与成交供应商对涉案财物进行检查、清点和对账，确保账、物相符，成交供应商应予以配合。</w:t>
      </w:r>
    </w:p>
    <w:p w14:paraId="50F43C13">
      <w:pPr>
        <w:pStyle w:val="28"/>
        <w:spacing w:before="0" w:beforeAutospacing="0" w:after="0" w:line="336" w:lineRule="auto"/>
        <w:ind w:left="0" w:leftChars="0" w:firstLine="422"/>
        <w:rPr>
          <w:rFonts w:ascii="宋体" w:cs="宋体"/>
          <w:b/>
          <w:bCs/>
          <w:color w:val="000000" w:themeColor="text1"/>
          <w:szCs w:val="21"/>
          <w14:textFill>
            <w14:solidFill>
              <w14:schemeClr w14:val="tx1"/>
            </w14:solidFill>
          </w14:textFill>
        </w:rPr>
      </w:pPr>
      <w:r>
        <w:rPr>
          <w:rFonts w:hint="eastAsia" w:ascii="宋体" w:cs="宋体"/>
          <w:b/>
          <w:bCs/>
          <w:color w:val="000000" w:themeColor="text1"/>
          <w:szCs w:val="21"/>
          <w14:textFill>
            <w14:solidFill>
              <w14:schemeClr w14:val="tx1"/>
            </w14:solidFill>
          </w14:textFill>
        </w:rPr>
        <w:t>6.责任条款</w:t>
      </w:r>
    </w:p>
    <w:p w14:paraId="5605EDB0">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ascii="宋体" w:cs="宋体"/>
          <w:color w:val="000000" w:themeColor="text1"/>
          <w:szCs w:val="21"/>
          <w14:textFill>
            <w14:solidFill>
              <w14:schemeClr w14:val="tx1"/>
            </w14:solidFill>
          </w14:textFill>
        </w:rPr>
        <w:t>(1)</w:t>
      </w:r>
      <w:r>
        <w:rPr>
          <w:rFonts w:hint="eastAsia" w:ascii="宋体" w:cs="宋体"/>
          <w:color w:val="000000" w:themeColor="text1"/>
          <w:szCs w:val="21"/>
          <w14:textFill>
            <w14:solidFill>
              <w14:schemeClr w14:val="tx1"/>
            </w14:solidFill>
          </w14:textFill>
        </w:rPr>
        <w:t>江门海关</w:t>
      </w:r>
      <w:r>
        <w:rPr>
          <w:rFonts w:ascii="宋体" w:cs="宋体"/>
          <w:color w:val="000000" w:themeColor="text1"/>
          <w:szCs w:val="21"/>
          <w14:textFill>
            <w14:solidFill>
              <w14:schemeClr w14:val="tx1"/>
            </w14:solidFill>
          </w14:textFill>
        </w:rPr>
        <w:t>财务部门负责涉案财物职能管理工作，</w:t>
      </w:r>
      <w:r>
        <w:rPr>
          <w:rFonts w:hint="eastAsia" w:ascii="宋体" w:cs="宋体"/>
          <w:color w:val="000000" w:themeColor="text1"/>
          <w:szCs w:val="21"/>
          <w14:textFill>
            <w14:solidFill>
              <w14:schemeClr w14:val="tx1"/>
            </w14:solidFill>
          </w14:textFill>
        </w:rPr>
        <w:t>成交供应商</w:t>
      </w:r>
      <w:r>
        <w:rPr>
          <w:rFonts w:ascii="宋体" w:cs="宋体"/>
          <w:color w:val="000000" w:themeColor="text1"/>
          <w:szCs w:val="21"/>
          <w14:textFill>
            <w14:solidFill>
              <w14:schemeClr w14:val="tx1"/>
            </w14:solidFill>
          </w14:textFill>
        </w:rPr>
        <w:t>负责具体的保管工作。</w:t>
      </w:r>
      <w:r>
        <w:rPr>
          <w:rFonts w:hint="eastAsia" w:ascii="宋体" w:cs="宋体"/>
          <w:color w:val="000000" w:themeColor="text1"/>
          <w:szCs w:val="21"/>
          <w14:textFill>
            <w14:solidFill>
              <w14:schemeClr w14:val="tx1"/>
            </w14:solidFill>
          </w14:textFill>
        </w:rPr>
        <w:t>江门海关</w:t>
      </w:r>
      <w:r>
        <w:rPr>
          <w:rFonts w:ascii="宋体" w:cs="宋体"/>
          <w:color w:val="000000" w:themeColor="text1"/>
          <w:szCs w:val="21"/>
          <w14:textFill>
            <w14:solidFill>
              <w14:schemeClr w14:val="tx1"/>
            </w14:solidFill>
          </w14:textFill>
        </w:rPr>
        <w:t>财务部门应不定期对</w:t>
      </w:r>
      <w:r>
        <w:rPr>
          <w:rFonts w:hint="eastAsia" w:ascii="宋体" w:cs="宋体"/>
          <w:color w:val="000000" w:themeColor="text1"/>
          <w:szCs w:val="21"/>
          <w14:textFill>
            <w14:solidFill>
              <w14:schemeClr w14:val="tx1"/>
            </w14:solidFill>
          </w14:textFill>
        </w:rPr>
        <w:t>成交供应商</w:t>
      </w:r>
      <w:r>
        <w:rPr>
          <w:rFonts w:ascii="宋体" w:cs="宋体"/>
          <w:color w:val="000000" w:themeColor="text1"/>
          <w:szCs w:val="21"/>
          <w14:textFill>
            <w14:solidFill>
              <w14:schemeClr w14:val="tx1"/>
            </w14:solidFill>
          </w14:textFill>
        </w:rPr>
        <w:t>仓库的涉案财物保管环境、设备配置、仓库管理操作规范等情况进行巡查，会同业务、办案部门对</w:t>
      </w:r>
      <w:r>
        <w:rPr>
          <w:rFonts w:hint="eastAsia" w:ascii="宋体" w:cs="宋体"/>
          <w:color w:val="000000" w:themeColor="text1"/>
          <w:szCs w:val="21"/>
          <w14:textFill>
            <w14:solidFill>
              <w14:schemeClr w14:val="tx1"/>
            </w14:solidFill>
          </w14:textFill>
        </w:rPr>
        <w:t>成交供应商</w:t>
      </w:r>
      <w:r>
        <w:rPr>
          <w:rFonts w:ascii="宋体" w:cs="宋体"/>
          <w:color w:val="000000" w:themeColor="text1"/>
          <w:szCs w:val="21"/>
          <w14:textFill>
            <w14:solidFill>
              <w14:schemeClr w14:val="tx1"/>
            </w14:solidFill>
          </w14:textFill>
        </w:rPr>
        <w:t>履行委托存储、保管协议情况进行监督，督促</w:t>
      </w:r>
      <w:r>
        <w:rPr>
          <w:rFonts w:hint="eastAsia" w:ascii="宋体" w:cs="宋体"/>
          <w:color w:val="000000" w:themeColor="text1"/>
          <w:szCs w:val="21"/>
          <w14:textFill>
            <w14:solidFill>
              <w14:schemeClr w14:val="tx1"/>
            </w14:solidFill>
          </w14:textFill>
        </w:rPr>
        <w:t>成交供应商</w:t>
      </w:r>
      <w:r>
        <w:rPr>
          <w:rFonts w:ascii="宋体" w:cs="宋体"/>
          <w:color w:val="000000" w:themeColor="text1"/>
          <w:szCs w:val="21"/>
          <w14:textFill>
            <w14:solidFill>
              <w14:schemeClr w14:val="tx1"/>
            </w14:solidFill>
          </w14:textFill>
        </w:rPr>
        <w:t>加强日常管理，</w:t>
      </w:r>
      <w:r>
        <w:rPr>
          <w:rFonts w:hint="eastAsia" w:ascii="宋体" w:cs="宋体"/>
          <w:color w:val="000000" w:themeColor="text1"/>
          <w:szCs w:val="21"/>
          <w14:textFill>
            <w14:solidFill>
              <w14:schemeClr w14:val="tx1"/>
            </w14:solidFill>
          </w14:textFill>
        </w:rPr>
        <w:t>成交供应商</w:t>
      </w:r>
      <w:r>
        <w:rPr>
          <w:rFonts w:ascii="宋体" w:cs="宋体"/>
          <w:color w:val="000000" w:themeColor="text1"/>
          <w:szCs w:val="21"/>
          <w14:textFill>
            <w14:solidFill>
              <w14:schemeClr w14:val="tx1"/>
            </w14:solidFill>
          </w14:textFill>
        </w:rPr>
        <w:t>应配合做好相关工作</w:t>
      </w:r>
      <w:r>
        <w:rPr>
          <w:rFonts w:hint="eastAsia" w:ascii="宋体" w:cs="宋体"/>
          <w:color w:val="000000" w:themeColor="text1"/>
          <w:szCs w:val="21"/>
          <w14:textFill>
            <w14:solidFill>
              <w14:schemeClr w14:val="tx1"/>
            </w14:solidFill>
          </w14:textFill>
        </w:rPr>
        <w:t>。</w:t>
      </w:r>
    </w:p>
    <w:p w14:paraId="2C420D88">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ascii="宋体" w:cs="宋体"/>
          <w:color w:val="000000" w:themeColor="text1"/>
          <w:szCs w:val="21"/>
          <w14:textFill>
            <w14:solidFill>
              <w14:schemeClr w14:val="tx1"/>
            </w14:solidFill>
          </w14:textFill>
        </w:rPr>
        <w:t>(2)涉案财物在存放期间遭受任何损失，</w:t>
      </w:r>
      <w:r>
        <w:rPr>
          <w:rFonts w:hint="eastAsia" w:ascii="宋体" w:cs="宋体"/>
          <w:color w:val="000000" w:themeColor="text1"/>
          <w:szCs w:val="21"/>
          <w14:textFill>
            <w14:solidFill>
              <w14:schemeClr w14:val="tx1"/>
            </w14:solidFill>
          </w14:textFill>
        </w:rPr>
        <w:t>成交供应商</w:t>
      </w:r>
      <w:r>
        <w:rPr>
          <w:rFonts w:ascii="宋体" w:cs="宋体"/>
          <w:color w:val="000000" w:themeColor="text1"/>
          <w:szCs w:val="21"/>
          <w14:textFill>
            <w14:solidFill>
              <w14:schemeClr w14:val="tx1"/>
            </w14:solidFill>
          </w14:textFill>
        </w:rPr>
        <w:t>均应立即将事故情况通知</w:t>
      </w:r>
      <w:r>
        <w:rPr>
          <w:rFonts w:hint="eastAsia" w:ascii="宋体" w:cs="宋体"/>
          <w:color w:val="000000" w:themeColor="text1"/>
          <w:szCs w:val="21"/>
          <w14:textFill>
            <w14:solidFill>
              <w14:schemeClr w14:val="tx1"/>
            </w14:solidFill>
          </w14:textFill>
        </w:rPr>
        <w:t>江门海关</w:t>
      </w:r>
      <w:r>
        <w:rPr>
          <w:rFonts w:ascii="宋体" w:cs="宋体"/>
          <w:color w:val="000000" w:themeColor="text1"/>
          <w:szCs w:val="21"/>
          <w14:textFill>
            <w14:solidFill>
              <w14:schemeClr w14:val="tx1"/>
            </w14:solidFill>
          </w14:textFill>
        </w:rPr>
        <w:t>，及时采取补救措施，并向</w:t>
      </w:r>
      <w:r>
        <w:rPr>
          <w:rFonts w:hint="eastAsia" w:ascii="宋体" w:cs="宋体"/>
          <w:color w:val="000000" w:themeColor="text1"/>
          <w:szCs w:val="21"/>
          <w14:textFill>
            <w14:solidFill>
              <w14:schemeClr w14:val="tx1"/>
            </w14:solidFill>
          </w14:textFill>
        </w:rPr>
        <w:t>江门海关</w:t>
      </w:r>
      <w:r>
        <w:rPr>
          <w:rFonts w:ascii="宋体" w:cs="宋体"/>
          <w:color w:val="000000" w:themeColor="text1"/>
          <w:szCs w:val="21"/>
          <w14:textFill>
            <w14:solidFill>
              <w14:schemeClr w14:val="tx1"/>
            </w14:solidFill>
          </w14:textFill>
        </w:rPr>
        <w:t>作出事故情况书面报告，提供事故详情及有效证明文件</w:t>
      </w:r>
      <w:r>
        <w:rPr>
          <w:rFonts w:hint="eastAsia" w:ascii="宋体" w:cs="宋体"/>
          <w:color w:val="000000" w:themeColor="text1"/>
          <w:szCs w:val="21"/>
          <w14:textFill>
            <w14:solidFill>
              <w14:schemeClr w14:val="tx1"/>
            </w14:solidFill>
          </w14:textFill>
        </w:rPr>
        <w:t>。</w:t>
      </w:r>
    </w:p>
    <w:p w14:paraId="7D988687">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ascii="宋体" w:cs="宋体"/>
          <w:color w:val="000000" w:themeColor="text1"/>
          <w:szCs w:val="21"/>
          <w14:textFill>
            <w14:solidFill>
              <w14:schemeClr w14:val="tx1"/>
            </w14:solidFill>
          </w14:textFill>
        </w:rPr>
        <w:t>(3)涉案财物损失责任认定</w:t>
      </w:r>
      <w:r>
        <w:rPr>
          <w:rFonts w:hint="eastAsia" w:ascii="宋体" w:cs="宋体"/>
          <w:color w:val="000000" w:themeColor="text1"/>
          <w:szCs w:val="21"/>
          <w14:textFill>
            <w14:solidFill>
              <w14:schemeClr w14:val="tx1"/>
            </w14:solidFill>
          </w14:textFill>
        </w:rPr>
        <w:t>：</w:t>
      </w:r>
    </w:p>
    <w:p w14:paraId="2D1F0F86">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①涉案财物因不可抗力因素造成的损失，成交供应商不承担赔偿责任；但事故发生后，如因成交供应商未及时采取妥善的补救措施而导致损失扩大，成交供应商应承担相应损失的赔偿责任。</w:t>
      </w:r>
    </w:p>
    <w:p w14:paraId="55D7BB4E">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②涉案财物因不可抗力以外因素造成的损失，视具体情况认定责任：因成交供应商保管不善发生灭失、短少、串换、受潮、变质、腐烂、虫害、损耗、失窃或参与配合他人盗窃等事故，成交供应商不得收取受损涉案财物的保管费用，同时，江门海关有权单方面终止合同，追究成交供应商法律责任，成交供应商还需要按照损失货物价值的30%向江门海关缴纳违约金，并根据江门海关要求按以下其中一种方式进行赔偿：</w:t>
      </w:r>
    </w:p>
    <w:p w14:paraId="01D25765">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A.赔偿相同的财物；</w:t>
      </w:r>
    </w:p>
    <w:p w14:paraId="697570DB">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B.按江门市价格认证中心评估价赔偿；</w:t>
      </w:r>
    </w:p>
    <w:p w14:paraId="2D647633">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C.损失部分按余货变卖的实际成交价折算赔偿。</w:t>
      </w:r>
    </w:p>
    <w:p w14:paraId="11BDCBCE">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③有下列情况之一的，成交供应商不承担赔偿责任：</w:t>
      </w:r>
    </w:p>
    <w:p w14:paraId="4A99E45B">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A.涉案财物已临近失效期或有异状，成交供应商已按协议规定通知江门海关，江门海关仍未及时处理而造成损失的；</w:t>
      </w:r>
    </w:p>
    <w:p w14:paraId="1CDC161A">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B.因自然灾害等不可抗力造成损失的；</w:t>
      </w:r>
    </w:p>
    <w:p w14:paraId="4686EA25">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C.按照江门海关要求实施的行为造成损失的；</w:t>
      </w:r>
    </w:p>
    <w:p w14:paraId="6467D77D">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D.法律有明确规定的。</w:t>
      </w:r>
    </w:p>
    <w:p w14:paraId="0477DCA5">
      <w:pPr>
        <w:pStyle w:val="28"/>
        <w:spacing w:before="0" w:beforeAutospacing="0" w:after="0" w:line="336" w:lineRule="auto"/>
        <w:ind w:left="0" w:leftChars="0" w:firstLine="420"/>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④成交供应商发生违约、违规、违法等行为的，江门海关有权解除合同，成交供应商应赔偿由此给江门海关造成的损失。</w:t>
      </w:r>
    </w:p>
    <w:p w14:paraId="360B268B">
      <w:pPr>
        <w:pStyle w:val="28"/>
        <w:spacing w:before="0" w:beforeAutospacing="0" w:after="0" w:line="336" w:lineRule="auto"/>
        <w:ind w:left="0" w:leftChars="0" w:firstLine="420"/>
        <w:rPr>
          <w:color w:val="000000" w:themeColor="text1"/>
          <w14:textFill>
            <w14:solidFill>
              <w14:schemeClr w14:val="tx1"/>
            </w14:solidFill>
          </w14:textFill>
        </w:rPr>
      </w:pPr>
      <w:r>
        <w:rPr>
          <w:rFonts w:hint="eastAsia" w:ascii="宋体" w:cs="宋体"/>
          <w:color w:val="000000" w:themeColor="text1"/>
          <w:szCs w:val="21"/>
          <w14:textFill>
            <w14:solidFill>
              <w14:schemeClr w14:val="tx1"/>
            </w14:solidFill>
          </w14:textFill>
        </w:rPr>
        <w:t>⑤成交供应商需要结业的，成交供应商应在结业前通知</w:t>
      </w:r>
      <w:r>
        <w:rPr>
          <w:rFonts w:hint="eastAsia" w:ascii="宋体" w:hAnsi="宋体" w:cs="宋体"/>
          <w:color w:val="000000" w:themeColor="text1"/>
          <w14:textFill>
            <w14:solidFill>
              <w14:schemeClr w14:val="tx1"/>
            </w14:solidFill>
          </w14:textFill>
        </w:rPr>
        <w:t>江门海关</w:t>
      </w:r>
      <w:r>
        <w:rPr>
          <w:rFonts w:hint="eastAsia" w:ascii="宋体" w:cs="宋体"/>
          <w:color w:val="000000" w:themeColor="text1"/>
          <w:szCs w:val="21"/>
          <w14:textFill>
            <w14:solidFill>
              <w14:schemeClr w14:val="tx1"/>
            </w14:solidFill>
          </w14:textFill>
        </w:rPr>
        <w:t>，</w:t>
      </w:r>
      <w:r>
        <w:rPr>
          <w:rFonts w:hint="eastAsia" w:ascii="宋体" w:hAnsi="宋体" w:cs="宋体"/>
          <w:color w:val="000000" w:themeColor="text1"/>
          <w14:textFill>
            <w14:solidFill>
              <w14:schemeClr w14:val="tx1"/>
            </w14:solidFill>
          </w14:textFill>
        </w:rPr>
        <w:t>江门海关</w:t>
      </w:r>
      <w:r>
        <w:rPr>
          <w:rFonts w:hint="eastAsia" w:ascii="宋体" w:cs="宋体"/>
          <w:color w:val="000000" w:themeColor="text1"/>
          <w:szCs w:val="21"/>
          <w14:textFill>
            <w14:solidFill>
              <w14:schemeClr w14:val="tx1"/>
            </w14:solidFill>
          </w14:textFill>
        </w:rPr>
        <w:t>按实际保管费用结算支付给成交供应商。另</w:t>
      </w:r>
      <w:r>
        <w:rPr>
          <w:rFonts w:hint="eastAsia" w:ascii="宋体" w:hAnsi="宋体" w:cs="宋体"/>
          <w:color w:val="000000" w:themeColor="text1"/>
          <w14:textFill>
            <w14:solidFill>
              <w14:schemeClr w14:val="tx1"/>
            </w14:solidFill>
          </w14:textFill>
        </w:rPr>
        <w:t>江门海关</w:t>
      </w:r>
      <w:r>
        <w:rPr>
          <w:rFonts w:hint="eastAsia" w:ascii="宋体" w:cs="宋体"/>
          <w:color w:val="000000" w:themeColor="text1"/>
          <w:szCs w:val="21"/>
          <w14:textFill>
            <w14:solidFill>
              <w14:schemeClr w14:val="tx1"/>
            </w14:solidFill>
          </w14:textFill>
        </w:rPr>
        <w:t>接到成交供应商结业通知起，在3个月内将委托成交供应商保管的船舶作离场处理，船舶离场费用由成交供应商承担，成交供应商还须赔偿由此给</w:t>
      </w:r>
      <w:r>
        <w:rPr>
          <w:rFonts w:hint="eastAsia" w:ascii="宋体" w:hAnsi="宋体" w:cs="宋体"/>
          <w:color w:val="000000" w:themeColor="text1"/>
          <w14:textFill>
            <w14:solidFill>
              <w14:schemeClr w14:val="tx1"/>
            </w14:solidFill>
          </w14:textFill>
        </w:rPr>
        <w:t>江门海关</w:t>
      </w:r>
      <w:r>
        <w:rPr>
          <w:rFonts w:hint="eastAsia" w:ascii="宋体" w:cs="宋体"/>
          <w:color w:val="000000" w:themeColor="text1"/>
          <w:szCs w:val="21"/>
          <w14:textFill>
            <w14:solidFill>
              <w14:schemeClr w14:val="tx1"/>
            </w14:solidFill>
          </w14:textFill>
        </w:rPr>
        <w:t>造成的损失。</w:t>
      </w:r>
    </w:p>
    <w:p w14:paraId="3F0E7385">
      <w:pPr>
        <w:pStyle w:val="28"/>
        <w:spacing w:before="0" w:beforeAutospacing="0" w:after="0" w:line="336" w:lineRule="auto"/>
        <w:ind w:left="0" w:leftChars="0" w:firstLine="42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⑥</w:t>
      </w:r>
      <w:r>
        <w:rPr>
          <w:rFonts w:hint="eastAsia"/>
          <w:color w:val="000000" w:themeColor="text1"/>
          <w14:textFill>
            <w14:solidFill>
              <w14:schemeClr w14:val="tx1"/>
            </w14:solidFill>
          </w14:textFill>
        </w:rPr>
        <w:t>机构改革导致的保管变更：</w:t>
      </w:r>
    </w:p>
    <w:p w14:paraId="5D9653FA">
      <w:pPr>
        <w:pStyle w:val="28"/>
        <w:spacing w:before="0" w:beforeAutospacing="0" w:after="0" w:line="336" w:lineRule="auto"/>
        <w:ind w:left="0" w:leftChars="0"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A.如江门海关因国家政策调整、机构改革等原因，导致江门海关不再具备委托成交供应商保管涉案船舶的职能或需求，江门海关应及时书面通知成交供应商。</w:t>
      </w:r>
    </w:p>
    <w:p w14:paraId="60CFBAF5">
      <w:pPr>
        <w:pStyle w:val="28"/>
        <w:spacing w:before="0" w:beforeAutospacing="0" w:after="0" w:line="336" w:lineRule="auto"/>
        <w:ind w:left="0" w:leftChars="0"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B.江门海关在通知成交供应商后，应与成交供应商协商解决船舶保管的相关事宜，包括但不限于船舶的交接、费用结算等。</w:t>
      </w:r>
    </w:p>
    <w:p w14:paraId="78B1F0D0">
      <w:pPr>
        <w:pStyle w:val="28"/>
        <w:spacing w:before="0" w:beforeAutospacing="0" w:after="0" w:line="336" w:lineRule="auto"/>
        <w:ind w:left="0" w:leftChars="0"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C.成交供应商在接到江门海关通知后，应积极配合江门海关完成船舶交接工作，确保船舶安全、完整的移交给江门海关或江门海关指定的其他单位。</w:t>
      </w:r>
    </w:p>
    <w:p w14:paraId="14990B47">
      <w:pPr>
        <w:spacing w:line="336" w:lineRule="auto"/>
        <w:rPr>
          <w:rFonts w:ascii="宋体" w:cs="宋体"/>
          <w:b/>
          <w:bCs/>
          <w:color w:val="000000" w:themeColor="text1"/>
          <w:szCs w:val="21"/>
          <w14:textFill>
            <w14:solidFill>
              <w14:schemeClr w14:val="tx1"/>
            </w14:solidFill>
          </w14:textFill>
        </w:rPr>
      </w:pPr>
      <w:bookmarkStart w:id="52" w:name="_Toc22467"/>
      <w:bookmarkEnd w:id="52"/>
    </w:p>
    <w:p w14:paraId="0F6CC90A">
      <w:pPr>
        <w:spacing w:line="336" w:lineRule="auto"/>
        <w:outlineLvl w:val="1"/>
        <w:rPr>
          <w:rFonts w:ascii="宋体" w:cs="宋体"/>
          <w:b/>
          <w:bCs/>
          <w:color w:val="000000" w:themeColor="text1"/>
          <w:szCs w:val="21"/>
          <w14:textFill>
            <w14:solidFill>
              <w14:schemeClr w14:val="tx1"/>
            </w14:solidFill>
          </w14:textFill>
        </w:rPr>
      </w:pPr>
      <w:bookmarkStart w:id="53" w:name="_Toc18791"/>
      <w:r>
        <w:rPr>
          <w:rFonts w:hint="eastAsia" w:ascii="宋体" w:cs="宋体"/>
          <w:b/>
          <w:bCs/>
          <w:color w:val="000000" w:themeColor="text1"/>
          <w:szCs w:val="21"/>
          <w14:textFill>
            <w14:solidFill>
              <w14:schemeClr w14:val="tx1"/>
            </w14:solidFill>
          </w14:textFill>
        </w:rPr>
        <w:t>三、商务要求</w:t>
      </w:r>
      <w:bookmarkEnd w:id="53"/>
    </w:p>
    <w:p w14:paraId="15D8EACB">
      <w:pPr>
        <w:pStyle w:val="28"/>
        <w:spacing w:before="0" w:beforeAutospacing="0" w:after="0" w:line="336" w:lineRule="auto"/>
        <w:ind w:left="0" w:leftChars="0" w:firstLine="420" w:firstLineChars="0"/>
        <w:jc w:val="left"/>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（一）所属行业：交通运输业</w:t>
      </w:r>
    </w:p>
    <w:p w14:paraId="14BF6088">
      <w:pPr>
        <w:pStyle w:val="28"/>
        <w:spacing w:before="0" w:beforeAutospacing="0" w:after="0" w:line="336" w:lineRule="auto"/>
        <w:ind w:left="0" w:leftChars="0" w:firstLine="420" w:firstLineChars="0"/>
        <w:jc w:val="left"/>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（二）付款方式：</w:t>
      </w:r>
    </w:p>
    <w:p w14:paraId="48A708C1">
      <w:pPr>
        <w:pStyle w:val="28"/>
        <w:spacing w:before="0" w:beforeAutospacing="0" w:after="0" w:line="336" w:lineRule="auto"/>
        <w:ind w:left="5" w:leftChars="0" w:firstLine="413" w:firstLineChars="197"/>
        <w:jc w:val="left"/>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1、协议签订后，每季度结算一次所有船舶所产生的保管费用。</w:t>
      </w:r>
    </w:p>
    <w:p w14:paraId="1FAFA8BF">
      <w:pPr>
        <w:pStyle w:val="28"/>
        <w:spacing w:before="0" w:beforeAutospacing="0" w:after="0" w:line="336" w:lineRule="auto"/>
        <w:ind w:left="5" w:leftChars="0" w:firstLine="413" w:firstLineChars="197"/>
        <w:jc w:val="left"/>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2、本项目按季度据实结算，每次款项支付前，成交供应商须提交费用清单，经江门海关确认后，成交供应商开具与款项金额相等的正规增值税专用发票，江门海关自收到发票后10个工作日内将资金支付到协议约定的成交供应商账户。</w:t>
      </w:r>
    </w:p>
    <w:p w14:paraId="11D94AD3">
      <w:pPr>
        <w:pStyle w:val="28"/>
        <w:spacing w:before="0" w:beforeAutospacing="0" w:after="0" w:line="336" w:lineRule="auto"/>
        <w:ind w:left="5" w:leftChars="0" w:firstLine="413" w:firstLineChars="197"/>
        <w:jc w:val="left"/>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3、结算仓储等费用时，成交供应商应向江门海关提供费用清单。</w:t>
      </w:r>
    </w:p>
    <w:p w14:paraId="332BBF0E">
      <w:pPr>
        <w:pStyle w:val="28"/>
        <w:spacing w:before="0" w:beforeAutospacing="0" w:after="0" w:line="336" w:lineRule="auto"/>
        <w:ind w:left="5" w:leftChars="0" w:firstLine="413" w:firstLineChars="197"/>
        <w:jc w:val="left"/>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4、结算金额＝∑对应船舶保管费单价×实际保管量。</w:t>
      </w:r>
    </w:p>
    <w:p w14:paraId="71A307A3">
      <w:pPr>
        <w:pStyle w:val="28"/>
        <w:spacing w:before="0" w:beforeAutospacing="0" w:after="0" w:line="336" w:lineRule="auto"/>
        <w:ind w:left="5" w:leftChars="0" w:firstLine="413" w:firstLineChars="197"/>
        <w:jc w:val="left"/>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5、支付方式：采用支票、银行汇付（含电汇）等形式。</w:t>
      </w:r>
    </w:p>
    <w:p w14:paraId="5AD25DB8">
      <w:pPr>
        <w:pStyle w:val="28"/>
        <w:spacing w:before="0" w:beforeAutospacing="0" w:after="0" w:line="336" w:lineRule="auto"/>
        <w:ind w:left="5" w:leftChars="0" w:firstLine="413" w:firstLineChars="197"/>
        <w:jc w:val="left"/>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6、成交供应商需提交单据：合同（正文部分复印件）、成交通知书、发票（原件）。</w:t>
      </w:r>
    </w:p>
    <w:p w14:paraId="3FE3F406">
      <w:pPr>
        <w:pStyle w:val="28"/>
        <w:spacing w:before="0" w:beforeAutospacing="0" w:after="0" w:line="336" w:lineRule="auto"/>
        <w:ind w:left="5" w:leftChars="0" w:firstLine="413" w:firstLineChars="197"/>
        <w:jc w:val="left"/>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7、每次按合同支付款项前，成交供应商应向江门海关提供与支付金额相符的有效发票，且收款方、出具发票方、合同成交供应商均必须与成交供应商名称一致。</w:t>
      </w:r>
    </w:p>
    <w:p w14:paraId="77275438">
      <w:pPr>
        <w:pStyle w:val="28"/>
        <w:spacing w:before="0" w:beforeAutospacing="0" w:after="0" w:line="336" w:lineRule="auto"/>
        <w:ind w:left="5" w:leftChars="0" w:firstLine="413" w:firstLineChars="197"/>
        <w:jc w:val="left"/>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（三）验收要求：</w:t>
      </w:r>
    </w:p>
    <w:p w14:paraId="0806CB4C">
      <w:pPr>
        <w:pStyle w:val="28"/>
        <w:spacing w:before="0" w:beforeAutospacing="0" w:after="0" w:line="336" w:lineRule="auto"/>
        <w:ind w:left="5" w:leftChars="0" w:firstLine="413" w:firstLineChars="197"/>
        <w:jc w:val="left"/>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1、验收方式：由江门海关组织的项目验收小组进行验收。</w:t>
      </w:r>
    </w:p>
    <w:p w14:paraId="2B48168D">
      <w:pPr>
        <w:pStyle w:val="28"/>
        <w:spacing w:before="0" w:beforeAutospacing="0" w:after="0" w:line="336" w:lineRule="auto"/>
        <w:ind w:left="5" w:leftChars="0" w:firstLine="413" w:firstLineChars="197"/>
        <w:jc w:val="left"/>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2、验收标准：供应商提供的服务质量符合国家及行业强制标准，磋商文件要求、投标（响应）文件承诺及合同要求。</w:t>
      </w:r>
    </w:p>
    <w:p w14:paraId="6DD5E29C">
      <w:pPr>
        <w:pStyle w:val="28"/>
        <w:spacing w:before="0" w:beforeAutospacing="0" w:after="0" w:line="336" w:lineRule="auto"/>
        <w:ind w:left="0" w:leftChars="0" w:firstLine="420" w:firstLineChars="0"/>
        <w:jc w:val="left"/>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（四）履约保证金：本项目不收取履约保证金。</w:t>
      </w:r>
    </w:p>
    <w:p w14:paraId="0FA37A21">
      <w:pPr>
        <w:pStyle w:val="28"/>
        <w:spacing w:before="0" w:beforeAutospacing="0" w:after="0" w:line="336" w:lineRule="auto"/>
        <w:ind w:left="0" w:leftChars="0" w:firstLine="420" w:firstLineChars="0"/>
        <w:jc w:val="left"/>
        <w:rPr>
          <w:color w:val="000000" w:themeColor="text1"/>
          <w14:textFill>
            <w14:solidFill>
              <w14:schemeClr w14:val="tx1"/>
            </w14:solidFill>
          </w14:textFill>
        </w:rPr>
      </w:pPr>
      <w:bookmarkStart w:id="54" w:name="_Toc103033203"/>
      <w:r>
        <w:rPr>
          <w:rFonts w:hint="eastAsia" w:ascii="宋体" w:cs="宋体"/>
          <w:color w:val="000000" w:themeColor="text1"/>
          <w:szCs w:val="21"/>
          <w14:textFill>
            <w14:solidFill>
              <w14:schemeClr w14:val="tx1"/>
            </w14:solidFill>
          </w14:textFill>
        </w:rPr>
        <w:t>（五）保密要求：供应商针对本项目指派的服务人员须具有良好的政治素养、法律意识和专业技能。供应商对服务过程中接触、知悉的属于江门海关或者属于第三方但江门海关承诺有保密义务的国家秘密和工作秘密，须承担无限期保密义务。</w:t>
      </w:r>
    </w:p>
    <w:p w14:paraId="46B22023">
      <w:pPr>
        <w:widowControl/>
        <w:jc w:val="left"/>
        <w:rPr>
          <w:b/>
          <w:bCs/>
          <w:color w:val="000000" w:themeColor="text1"/>
          <w:kern w:val="44"/>
          <w:sz w:val="24"/>
          <w14:textFill>
            <w14:solidFill>
              <w14:schemeClr w14:val="tx1"/>
            </w14:solidFill>
          </w14:textFill>
        </w:rPr>
      </w:pPr>
      <w:r>
        <w:rPr>
          <w:color w:val="000000" w:themeColor="text1"/>
          <w:sz w:val="24"/>
          <w14:textFill>
            <w14:solidFill>
              <w14:schemeClr w14:val="tx1"/>
            </w14:solidFill>
          </w14:textFill>
        </w:rPr>
        <w:br w:type="page"/>
      </w:r>
    </w:p>
    <w:p w14:paraId="61FB2071">
      <w:pPr>
        <w:pStyle w:val="2"/>
        <w:keepLines w:val="0"/>
        <w:spacing w:before="0" w:after="0" w:line="360" w:lineRule="auto"/>
        <w:rPr>
          <w:rFonts w:eastAsia="宋体"/>
          <w:color w:val="000000" w:themeColor="text1"/>
          <w:sz w:val="24"/>
          <w:szCs w:val="24"/>
          <w14:textFill>
            <w14:solidFill>
              <w14:schemeClr w14:val="tx1"/>
            </w14:solidFill>
          </w14:textFill>
        </w:rPr>
      </w:pPr>
      <w:bookmarkStart w:id="55" w:name="_Toc13457"/>
      <w:r>
        <w:rPr>
          <w:rFonts w:hint="eastAsia" w:eastAsia="宋体"/>
          <w:color w:val="000000" w:themeColor="text1"/>
          <w:sz w:val="24"/>
          <w:szCs w:val="24"/>
          <w14:textFill>
            <w14:solidFill>
              <w14:schemeClr w14:val="tx1"/>
            </w14:solidFill>
          </w14:textFill>
        </w:rPr>
        <w:t>第三章</w:t>
      </w:r>
      <w:bookmarkEnd w:id="54"/>
      <w:r>
        <w:rPr>
          <w:rFonts w:hint="eastAsia" w:eastAsia="宋体"/>
          <w:color w:val="000000" w:themeColor="text1"/>
          <w:sz w:val="24"/>
          <w:szCs w:val="24"/>
          <w14:textFill>
            <w14:solidFill>
              <w14:schemeClr w14:val="tx1"/>
            </w14:solidFill>
          </w14:textFill>
        </w:rPr>
        <w:t xml:space="preserve"> 供应商须知</w:t>
      </w:r>
      <w:bookmarkEnd w:id="55"/>
    </w:p>
    <w:p w14:paraId="75AD9A3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65AE84FC">
      <w:pPr>
        <w:pStyle w:val="3"/>
        <w:keepLines w:val="0"/>
        <w:numPr>
          <w:ilvl w:val="0"/>
          <w:numId w:val="6"/>
        </w:numPr>
        <w:spacing w:before="120" w:after="120" w:line="360" w:lineRule="auto"/>
        <w:ind w:left="0" w:firstLine="0"/>
        <w:jc w:val="left"/>
        <w:rPr>
          <w:rFonts w:hint="eastAsia" w:ascii="宋体" w:eastAsia="宋体"/>
          <w:color w:val="000000" w:themeColor="text1"/>
          <w:sz w:val="21"/>
          <w:szCs w:val="21"/>
          <w14:textFill>
            <w14:solidFill>
              <w14:schemeClr w14:val="tx1"/>
            </w14:solidFill>
          </w14:textFill>
        </w:rPr>
      </w:pPr>
      <w:bookmarkStart w:id="56" w:name="_Toc104040688"/>
      <w:bookmarkEnd w:id="56"/>
      <w:bookmarkStart w:id="57" w:name="_Toc3849"/>
      <w:bookmarkStart w:id="58" w:name="_Toc2854"/>
      <w:r>
        <w:rPr>
          <w:rFonts w:hint="eastAsia" w:ascii="宋体" w:eastAsia="宋体"/>
          <w:color w:val="000000" w:themeColor="text1"/>
          <w:sz w:val="21"/>
          <w:szCs w:val="21"/>
          <w14:textFill>
            <w14:solidFill>
              <w14:schemeClr w14:val="tx1"/>
            </w14:solidFill>
          </w14:textFill>
        </w:rPr>
        <w:t>名词解释</w:t>
      </w:r>
      <w:bookmarkEnd w:id="57"/>
      <w:bookmarkEnd w:id="58"/>
    </w:p>
    <w:p w14:paraId="29E041EA">
      <w:pPr>
        <w:pStyle w:val="39"/>
        <w:autoSpaceDN/>
        <w:spacing w:line="360" w:lineRule="auto"/>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1.采购代理机构：本项目是指公诚管理咨询有限公司，负责整个采购活动的组织，依法负责编制和发布磋商文件，对磋商文件拥有最终的解释权，不以任何身份出任磋商小组成员。</w:t>
      </w:r>
    </w:p>
    <w:p w14:paraId="6D62D11E">
      <w:pPr>
        <w:pStyle w:val="39"/>
        <w:autoSpaceDN/>
        <w:spacing w:line="360" w:lineRule="auto"/>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2.采购人：本项目采购人详见采购公告，是采购活动当事人之一，负责项目的整体规划、技术方案可行性设计论证与实施，承担质疑回复等义务，履行合同、验收与评价主体为</w:t>
      </w:r>
      <w:r>
        <w:rPr>
          <w:rFonts w:hint="eastAsia"/>
          <w:color w:val="000000" w:themeColor="text1"/>
          <w:sz w:val="21"/>
          <w:szCs w:val="21"/>
          <w14:textFill>
            <w14:solidFill>
              <w14:schemeClr w14:val="tx1"/>
            </w14:solidFill>
          </w14:textFill>
        </w:rPr>
        <w:t>江门海关</w:t>
      </w:r>
      <w:r>
        <w:rPr>
          <w:rFonts w:hint="eastAsia"/>
          <w:color w:val="000000" w:themeColor="text1"/>
          <w:spacing w:val="-1"/>
          <w:sz w:val="21"/>
          <w:szCs w:val="21"/>
          <w14:textFill>
            <w14:solidFill>
              <w14:schemeClr w14:val="tx1"/>
            </w14:solidFill>
          </w14:textFill>
        </w:rPr>
        <w:t>。</w:t>
      </w:r>
    </w:p>
    <w:p w14:paraId="02FF5F67">
      <w:pPr>
        <w:pStyle w:val="39"/>
        <w:autoSpaceDN/>
        <w:spacing w:line="360" w:lineRule="auto"/>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3.供应商：</w:t>
      </w:r>
      <w:bookmarkStart w:id="59" w:name="_Hlk112005196"/>
      <w:r>
        <w:rPr>
          <w:rFonts w:hint="eastAsia"/>
          <w:color w:val="000000" w:themeColor="text1"/>
          <w:spacing w:val="-1"/>
          <w:sz w:val="21"/>
          <w:szCs w:val="21"/>
          <w14:textFill>
            <w14:solidFill>
              <w14:schemeClr w14:val="tx1"/>
            </w14:solidFill>
          </w14:textFill>
        </w:rPr>
        <w:t>是指通过江门海关后勤管理中心政府采购部门获取了</w:t>
      </w:r>
      <w:bookmarkEnd w:id="59"/>
      <w:r>
        <w:rPr>
          <w:rFonts w:hint="eastAsia"/>
          <w:color w:val="000000" w:themeColor="text1"/>
          <w:spacing w:val="-1"/>
          <w:sz w:val="21"/>
          <w:szCs w:val="21"/>
          <w14:textFill>
            <w14:solidFill>
              <w14:schemeClr w14:val="tx1"/>
            </w14:solidFill>
          </w14:textFill>
        </w:rPr>
        <w:t>磋商文件，并提交响应文件的供应商。</w:t>
      </w:r>
    </w:p>
    <w:p w14:paraId="11F86767">
      <w:pPr>
        <w:pStyle w:val="39"/>
        <w:autoSpaceDN/>
        <w:spacing w:line="360" w:lineRule="auto"/>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4.“磋商小组”是指参照《中华人民共和国政府采购法》等法律法规规定，由采购人代表和有关专家组成以确定成交供应商或者推荐成交候选供应商的临时组织。</w:t>
      </w:r>
    </w:p>
    <w:p w14:paraId="1C8D1CB0">
      <w:pPr>
        <w:pStyle w:val="39"/>
        <w:autoSpaceDN/>
        <w:spacing w:line="360" w:lineRule="auto"/>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5.“成交供应商”、“成交人”是指经磋商小组评审确定的对磋商文件做出实质性响应，经采购人按照规定在磋商小组推荐的成交候选供应商中确定的或磋商小组受采购人委托直接确认的供应商。</w:t>
      </w:r>
    </w:p>
    <w:p w14:paraId="0711F7C9">
      <w:pPr>
        <w:pStyle w:val="39"/>
        <w:autoSpaceDN/>
        <w:spacing w:line="360" w:lineRule="auto"/>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6.磋商文件：是指包括磋商公告和磋商文件及其补充、变更和澄清等一系列文件。</w:t>
      </w:r>
    </w:p>
    <w:p w14:paraId="2D87E28A">
      <w:pPr>
        <w:pStyle w:val="39"/>
        <w:autoSpaceDN/>
        <w:spacing w:line="360" w:lineRule="auto"/>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7.</w:t>
      </w:r>
      <w:bookmarkStart w:id="60" w:name="_Hlk112005222"/>
      <w:r>
        <w:rPr>
          <w:rFonts w:hint="eastAsia"/>
          <w:color w:val="000000" w:themeColor="text1"/>
          <w:spacing w:val="-1"/>
          <w:sz w:val="21"/>
          <w:szCs w:val="21"/>
          <w14:textFill>
            <w14:solidFill>
              <w14:schemeClr w14:val="tx1"/>
            </w14:solidFill>
          </w14:textFill>
        </w:rPr>
        <w:t>响应文件：是指供应商提交的响应文件</w:t>
      </w:r>
      <w:bookmarkEnd w:id="60"/>
      <w:r>
        <w:rPr>
          <w:rFonts w:hint="eastAsia"/>
          <w:color w:val="000000" w:themeColor="text1"/>
          <w:spacing w:val="-1"/>
          <w:sz w:val="21"/>
          <w:szCs w:val="21"/>
          <w14:textFill>
            <w14:solidFill>
              <w14:schemeClr w14:val="tx1"/>
            </w14:solidFill>
          </w14:textFill>
        </w:rPr>
        <w:t>。</w:t>
      </w:r>
    </w:p>
    <w:p w14:paraId="75BF7A9C">
      <w:pPr>
        <w:pStyle w:val="39"/>
        <w:autoSpaceDN/>
        <w:spacing w:line="360" w:lineRule="auto"/>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8.“全称”、“公司全称”、“供应商/供应商名称”、“加盖单位公章”、“加盖公章”及“公章”：在投标（响应）文件及相关的其他资料中，涉及“全称”或“公司全称”或“供应商/供应商名称”的应在对应文件编辑时使用文本录入方式，或在纸质投标（响应）文件上进行填写，或直接盖单位公章；涉及“加盖单位公章”、“加盖公章”和“公章”应使用供应商单位的公章进行盖章。</w:t>
      </w:r>
    </w:p>
    <w:p w14:paraId="63413880">
      <w:pPr>
        <w:pStyle w:val="39"/>
        <w:autoSpaceDN/>
        <w:spacing w:line="360" w:lineRule="auto"/>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9.</w:t>
      </w:r>
      <w:bookmarkStart w:id="61" w:name="_Hlk112005261"/>
      <w:r>
        <w:rPr>
          <w:rFonts w:hint="eastAsia"/>
          <w:color w:val="000000" w:themeColor="text1"/>
          <w:spacing w:val="-1"/>
          <w:sz w:val="21"/>
          <w:szCs w:val="21"/>
          <w14:textFill>
            <w14:solidFill>
              <w14:schemeClr w14:val="tx1"/>
            </w14:solidFill>
          </w14:textFill>
        </w:rPr>
        <w:t>“供应商代表签字”及“授权代表”：在响应文件及相关的其他资料中，涉及“供应商代表签字”或“授权代表”应在纸质响应文件上进行手写签名或加盖个人印章</w:t>
      </w:r>
      <w:bookmarkEnd w:id="61"/>
      <w:r>
        <w:rPr>
          <w:rFonts w:hint="eastAsia"/>
          <w:color w:val="000000" w:themeColor="text1"/>
          <w:spacing w:val="-1"/>
          <w:sz w:val="21"/>
          <w:szCs w:val="21"/>
          <w14:textFill>
            <w14:solidFill>
              <w14:schemeClr w14:val="tx1"/>
            </w14:solidFill>
          </w14:textFill>
        </w:rPr>
        <w:t>。</w:t>
      </w:r>
    </w:p>
    <w:p w14:paraId="09281392">
      <w:pPr>
        <w:pStyle w:val="39"/>
        <w:autoSpaceDN/>
        <w:spacing w:line="360" w:lineRule="auto"/>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10.“法定代表人”：</w:t>
      </w:r>
      <w:bookmarkStart w:id="62" w:name="_Hlk112005269"/>
      <w:r>
        <w:rPr>
          <w:rFonts w:hint="eastAsia"/>
          <w:color w:val="000000" w:themeColor="text1"/>
          <w:spacing w:val="-1"/>
          <w:sz w:val="21"/>
          <w:szCs w:val="21"/>
          <w14:textFill>
            <w14:solidFill>
              <w14:schemeClr w14:val="tx1"/>
            </w14:solidFill>
          </w14:textFill>
        </w:rPr>
        <w:t>在响应文件及相关的其他资料中，涉及“法定代表人”应在纸质响应文件上进行手写签名或加盖个人印章</w:t>
      </w:r>
      <w:bookmarkEnd w:id="62"/>
      <w:r>
        <w:rPr>
          <w:rFonts w:hint="eastAsia"/>
          <w:color w:val="000000" w:themeColor="text1"/>
          <w:spacing w:val="-1"/>
          <w:sz w:val="21"/>
          <w:szCs w:val="21"/>
          <w14:textFill>
            <w14:solidFill>
              <w14:schemeClr w14:val="tx1"/>
            </w14:solidFill>
          </w14:textFill>
        </w:rPr>
        <w:t>。</w:t>
      </w:r>
    </w:p>
    <w:p w14:paraId="2226D2C2">
      <w:pPr>
        <w:pStyle w:val="39"/>
        <w:autoSpaceDN/>
        <w:spacing w:line="360" w:lineRule="auto"/>
        <w:ind w:left="0" w:firstLine="416" w:firstLineChars="200"/>
        <w:rPr>
          <w:color w:val="000000" w:themeColor="text1"/>
          <w:spacing w:val="-1"/>
          <w:sz w:val="21"/>
          <w:szCs w:val="21"/>
          <w14:textFill>
            <w14:solidFill>
              <w14:schemeClr w14:val="tx1"/>
            </w14:solidFill>
          </w14:textFill>
        </w:rPr>
      </w:pPr>
      <w:r>
        <w:rPr>
          <w:rFonts w:hint="eastAsia"/>
          <w:color w:val="000000" w:themeColor="text1"/>
          <w:spacing w:val="-1"/>
          <w:sz w:val="21"/>
          <w:szCs w:val="21"/>
          <w14:textFill>
            <w14:solidFill>
              <w14:schemeClr w14:val="tx1"/>
            </w14:solidFill>
          </w14:textFill>
        </w:rPr>
        <w:t>11.日期、天数、时间：未有特别说明时，均为公历日（天）及北京时间。</w:t>
      </w:r>
    </w:p>
    <w:p w14:paraId="1A7B7F1B">
      <w:pPr>
        <w:pStyle w:val="3"/>
        <w:keepLines w:val="0"/>
        <w:numPr>
          <w:ilvl w:val="0"/>
          <w:numId w:val="6"/>
        </w:numPr>
        <w:spacing w:before="120" w:after="120" w:line="360" w:lineRule="auto"/>
        <w:ind w:left="0" w:firstLine="0"/>
        <w:jc w:val="left"/>
        <w:rPr>
          <w:rFonts w:hint="eastAsia" w:ascii="宋体" w:eastAsia="宋体"/>
          <w:color w:val="000000" w:themeColor="text1"/>
          <w:sz w:val="21"/>
          <w:szCs w:val="21"/>
          <w14:textFill>
            <w14:solidFill>
              <w14:schemeClr w14:val="tx1"/>
            </w14:solidFill>
          </w14:textFill>
        </w:rPr>
      </w:pPr>
      <w:bookmarkStart w:id="63" w:name="_Toc5888"/>
      <w:bookmarkEnd w:id="63"/>
      <w:bookmarkStart w:id="64" w:name="_Toc104040689"/>
      <w:bookmarkStart w:id="65" w:name="_Toc14557"/>
      <w:r>
        <w:rPr>
          <w:rFonts w:hint="eastAsia" w:ascii="宋体" w:eastAsia="宋体"/>
          <w:color w:val="000000" w:themeColor="text1"/>
          <w:sz w:val="21"/>
          <w:szCs w:val="21"/>
          <w14:textFill>
            <w14:solidFill>
              <w14:schemeClr w14:val="tx1"/>
            </w14:solidFill>
          </w14:textFill>
        </w:rPr>
        <w:t>须知前附表</w:t>
      </w:r>
      <w:bookmarkEnd w:id="64"/>
      <w:bookmarkEnd w:id="65"/>
    </w:p>
    <w:tbl>
      <w:tblPr>
        <w:tblStyle w:val="29"/>
        <w:tblW w:w="0" w:type="auto"/>
        <w:tblInd w:w="108" w:type="dxa"/>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557"/>
        <w:gridCol w:w="1955"/>
        <w:gridCol w:w="7342"/>
      </w:tblGrid>
      <w:tr w14:paraId="46BD5F1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12165"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72BE1C68">
            <w:pPr>
              <w:pStyle w:val="11"/>
              <w:spacing w:before="156" w:beforeLines="50" w:after="156" w:afterLines="50" w:line="360" w:lineRule="auto"/>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本表与磋商文件对应章节的内容若不一致，以本表为准。</w:t>
            </w:r>
          </w:p>
        </w:tc>
      </w:tr>
      <w:tr w14:paraId="615B5AB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74A5B341">
            <w:pPr>
              <w:pStyle w:val="11"/>
              <w:spacing w:line="360" w:lineRule="auto"/>
              <w:ind w:left="-109" w:leftChars="-52" w:right="-103" w:rightChars="-49"/>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7D514341">
            <w:pPr>
              <w:pStyle w:val="11"/>
              <w:spacing w:line="360" w:lineRule="auto"/>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条款名称</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0B913788">
            <w:pPr>
              <w:pStyle w:val="11"/>
              <w:spacing w:before="156" w:beforeLines="50" w:after="156" w:afterLines="50" w:line="360" w:lineRule="auto"/>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内容及要求</w:t>
            </w:r>
          </w:p>
        </w:tc>
      </w:tr>
      <w:tr w14:paraId="560D66E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3447AB36">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6CDC1787">
            <w:pPr>
              <w:pStyle w:val="11"/>
              <w:spacing w:line="360" w:lineRule="auto"/>
              <w:jc w:val="center"/>
              <w:rPr>
                <w:b/>
                <w:bCs/>
                <w:color w:val="000000" w:themeColor="text1"/>
                <w14:textFill>
                  <w14:solidFill>
                    <w14:schemeClr w14:val="tx1"/>
                  </w14:solidFill>
                </w14:textFill>
              </w:rPr>
            </w:pPr>
            <w:r>
              <w:rPr>
                <w:rFonts w:hint="eastAsia"/>
                <w:color w:val="000000" w:themeColor="text1"/>
                <w14:textFill>
                  <w14:solidFill>
                    <w14:schemeClr w14:val="tx1"/>
                  </w14:solidFill>
                </w14:textFill>
              </w:rPr>
              <w:t>采购包组情况</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E7FA780">
            <w:pPr>
              <w:pStyle w:val="11"/>
              <w:spacing w:before="156" w:beforeLines="50" w:after="156" w:afterLines="50" w:line="360" w:lineRule="auto"/>
              <w:rPr>
                <w:b/>
                <w:bCs/>
                <w:color w:val="000000" w:themeColor="text1"/>
                <w14:textFill>
                  <w14:solidFill>
                    <w14:schemeClr w14:val="tx1"/>
                  </w14:solidFill>
                </w14:textFill>
              </w:rPr>
            </w:pPr>
            <w:r>
              <w:rPr>
                <w:rFonts w:hint="eastAsia"/>
                <w:color w:val="000000" w:themeColor="text1"/>
                <w14:textFill>
                  <w14:solidFill>
                    <w14:schemeClr w14:val="tx1"/>
                  </w14:solidFill>
                </w14:textFill>
              </w:rPr>
              <w:t>本项目共1个采购包组</w:t>
            </w:r>
          </w:p>
        </w:tc>
      </w:tr>
      <w:tr w14:paraId="4F90BDD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2AB2D0A0">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547AA34D">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资金来源</w:t>
            </w:r>
          </w:p>
        </w:tc>
        <w:tc>
          <w:tcPr>
            <w:tcW w:w="8970" w:type="dxa"/>
            <w:tcBorders>
              <w:top w:val="single" w:color="auto" w:sz="4" w:space="0"/>
              <w:left w:val="single" w:color="auto" w:sz="4" w:space="0"/>
              <w:bottom w:val="single" w:color="auto" w:sz="4" w:space="0"/>
              <w:right w:val="single" w:color="auto" w:sz="4" w:space="0"/>
              <w:tl2br w:val="nil"/>
              <w:tr2bl w:val="nil"/>
            </w:tcBorders>
          </w:tcPr>
          <w:p w14:paraId="2F76B7FB">
            <w:pPr>
              <w:pStyle w:val="11"/>
              <w:spacing w:before="156" w:beforeLines="50" w:after="156" w:afterLines="5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■财政性资金</w:t>
            </w:r>
          </w:p>
        </w:tc>
      </w:tr>
      <w:tr w14:paraId="5BC5BA1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1F1AE141">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6AC5BD3C">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公告发布媒介</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7D029783">
            <w:pPr>
              <w:spacing w:before="156" w:beforeLines="50" w:after="156" w:afterLines="5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■中华人民共和国江门海关门户网站（jiangmen.customs.gov.cn）</w:t>
            </w:r>
          </w:p>
          <w:p w14:paraId="647C29D0">
            <w:pPr>
              <w:pStyle w:val="11"/>
              <w:spacing w:before="156" w:beforeLines="50" w:after="156" w:afterLines="50" w:line="360" w:lineRule="auto"/>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相关公告在以上媒体上公布之日即视为有效送达，不再另行通知。</w:t>
            </w:r>
          </w:p>
        </w:tc>
      </w:tr>
      <w:tr w14:paraId="2B54195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4"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2F2D335B">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3DCDCB30">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开启方式</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BD1D895">
            <w:pPr>
              <w:pStyle w:val="11"/>
              <w:spacing w:before="156" w:beforeLines="50" w:after="156" w:afterLines="5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现场开启</w:t>
            </w:r>
          </w:p>
        </w:tc>
      </w:tr>
      <w:tr w14:paraId="4B9C3FF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5116DF7A">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1A1FE31C">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评审方式</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70254D83">
            <w:pPr>
              <w:pStyle w:val="11"/>
              <w:spacing w:before="156" w:beforeLines="50" w:after="156" w:afterLines="5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现场评审</w:t>
            </w:r>
          </w:p>
        </w:tc>
      </w:tr>
      <w:tr w14:paraId="533288F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480CBADB">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1E445277">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评审办法</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7241C44C">
            <w:pPr>
              <w:pStyle w:val="11"/>
              <w:spacing w:before="156" w:beforeLines="50" w:after="156" w:afterLines="5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综合评分法</w:t>
            </w:r>
          </w:p>
        </w:tc>
      </w:tr>
      <w:tr w14:paraId="32EBB93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6A99B4F9">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3517DB36">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报价形式</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492EAD4">
            <w:pPr>
              <w:pStyle w:val="11"/>
              <w:spacing w:before="156" w:beforeLines="50" w:after="156" w:afterLines="5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□总价 / ■单价 / □折扣率 / □下浮率</w:t>
            </w:r>
          </w:p>
        </w:tc>
      </w:tr>
      <w:tr w14:paraId="4A6B3A8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996"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4C11BDBE">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27717F28">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报价要求</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64188CF">
            <w:pPr>
              <w:spacing w:line="360" w:lineRule="auto"/>
              <w:jc w:val="left"/>
              <w:rPr>
                <w:rFonts w:ascii="宋体" w:cs="宋体"/>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预算金额</w:t>
            </w:r>
            <w:r>
              <w:rPr>
                <w:rFonts w:hint="eastAsia" w:ascii="宋体" w:cs="宋体"/>
                <w:color w:val="000000" w:themeColor="text1"/>
                <w14:textFill>
                  <w14:solidFill>
                    <w14:schemeClr w14:val="tx1"/>
                  </w14:solidFill>
                </w14:textFill>
              </w:rPr>
              <w:t>：人民币950000.00元（含税）</w:t>
            </w:r>
          </w:p>
          <w:p w14:paraId="055F3213">
            <w:pPr>
              <w:spacing w:line="360" w:lineRule="auto"/>
              <w:jc w:val="left"/>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2.</w:t>
            </w:r>
            <w:r>
              <w:rPr>
                <w:rFonts w:hint="eastAsia" w:ascii="宋体" w:hAnsi="宋体" w:cs="宋体"/>
                <w:bCs/>
                <w:color w:val="000000" w:themeColor="text1"/>
                <w:szCs w:val="21"/>
                <w14:textFill>
                  <w14:solidFill>
                    <w14:schemeClr w14:val="tx1"/>
                  </w14:solidFill>
                </w14:textFill>
              </w:rPr>
              <w:t>以综合单价方式报价（保管费应包含因保管发生的所有税费。拖船费用另议，产生的驾驶费包含加油费以及其它相关费用（据实结算））。其它应</w:t>
            </w:r>
            <w:r>
              <w:rPr>
                <w:rFonts w:hint="eastAsia" w:hAnsi="宋体" w:cs="宋体"/>
                <w:bCs/>
                <w:color w:val="000000" w:themeColor="text1"/>
                <w:szCs w:val="21"/>
                <w14:textFill>
                  <w14:solidFill>
                    <w14:schemeClr w14:val="tx1"/>
                  </w14:solidFill>
                </w14:textFill>
              </w:rPr>
              <w:t>江门</w:t>
            </w:r>
            <w:r>
              <w:rPr>
                <w:rFonts w:hint="eastAsia" w:ascii="宋体" w:hAnsi="宋体" w:cs="宋体"/>
                <w:bCs/>
                <w:color w:val="000000" w:themeColor="text1"/>
                <w:szCs w:val="21"/>
                <w14:textFill>
                  <w14:solidFill>
                    <w14:schemeClr w14:val="tx1"/>
                  </w14:solidFill>
                </w14:textFill>
              </w:rPr>
              <w:t>海关所提要求而额外发生的费用，经双方同意后，以清单列示，经双方签名确认后有效。</w:t>
            </w:r>
          </w:p>
          <w:p w14:paraId="0F252F0A">
            <w:pPr>
              <w:spacing w:line="360" w:lineRule="auto"/>
              <w:jc w:val="left"/>
              <w:rPr>
                <w:b/>
                <w:bCs/>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3.供应商漏报或不报，江门海关将视为该漏报或不报部分的费用已包括在已报的报价中而不予支付。</w:t>
            </w:r>
          </w:p>
        </w:tc>
      </w:tr>
      <w:tr w14:paraId="466E283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36A18609">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4DDA27B8">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现场踏勘</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2FCFB53E">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■否 /□是，踏勘详细要求：</w:t>
            </w:r>
          </w:p>
          <w:p w14:paraId="0D04DB92">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时间：/</w:t>
            </w:r>
          </w:p>
          <w:p w14:paraId="1F37C6C5">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地点：/</w:t>
            </w:r>
          </w:p>
          <w:p w14:paraId="6C3698AD">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联系人：/</w:t>
            </w:r>
          </w:p>
          <w:p w14:paraId="3A1ACE70">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说明：/</w:t>
            </w:r>
          </w:p>
        </w:tc>
      </w:tr>
      <w:tr w14:paraId="43774C5D">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1E4287D6">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77777DDF">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响应有效期</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7A93EAA">
            <w:pPr>
              <w:pStyle w:val="11"/>
              <w:spacing w:before="156" w:beforeLines="50" w:after="156" w:afterLines="5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从提交投标（响应）文件的截止之日起90日历天</w:t>
            </w:r>
          </w:p>
        </w:tc>
      </w:tr>
      <w:tr w14:paraId="6A40E6C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10"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61A3D0C9">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090A9DFA">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响应保证金</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2D29B116">
            <w:pPr>
              <w:pStyle w:val="11"/>
              <w:spacing w:line="360" w:lineRule="auto"/>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本项目无需递交响应保证金</w:t>
            </w:r>
          </w:p>
        </w:tc>
      </w:tr>
      <w:tr w14:paraId="2833347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40"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7155BC32">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77F8E1F0">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成交候选供应商推荐家数</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5FC7BF6E">
            <w:pPr>
              <w:pStyle w:val="11"/>
              <w:spacing w:before="156" w:beforeLines="50" w:after="156" w:afterLines="5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3家</w:t>
            </w:r>
          </w:p>
        </w:tc>
      </w:tr>
      <w:tr w14:paraId="108F40C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2C38BE34">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48E5646A">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成交供应商家数</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5FCBF993">
            <w:pPr>
              <w:pStyle w:val="11"/>
              <w:spacing w:before="156" w:beforeLines="50" w:after="156" w:afterLines="5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1家</w:t>
            </w:r>
          </w:p>
        </w:tc>
      </w:tr>
      <w:tr w14:paraId="2409D11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09"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2382FDB3">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01C8A190">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有效供应商家数</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1468E5FC">
            <w:pPr>
              <w:pStyle w:val="11"/>
              <w:spacing w:before="156" w:beforeLines="50" w:after="156" w:afterLines="5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3家</w:t>
            </w:r>
          </w:p>
          <w:p w14:paraId="7BD421A7">
            <w:pPr>
              <w:pStyle w:val="11"/>
              <w:spacing w:before="156" w:beforeLines="50" w:after="156" w:afterLines="5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此人数约定了开启与评审过程中的最低有效供应商家数，当家数不足时项目将不得开启、不得评审或直接终止采购。</w:t>
            </w:r>
          </w:p>
        </w:tc>
      </w:tr>
      <w:tr w14:paraId="54DA72C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303"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4DC57C39">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1312B469">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项目兼投兼中（兼投不兼中）规则</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28A0E9A5">
            <w:pPr>
              <w:pStyle w:val="11"/>
              <w:spacing w:before="156" w:beforeLines="50" w:after="156" w:afterLines="5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本项目不涉及</w:t>
            </w:r>
          </w:p>
        </w:tc>
      </w:tr>
      <w:tr w14:paraId="7A33203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231"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415305A0">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02499E30">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成交供应商确定方式</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57CA2560">
            <w:pPr>
              <w:pStyle w:val="11"/>
              <w:spacing w:before="156" w:beforeLines="5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■采购人按照评审报告中推荐的成交候选人确定成交人。/ □采购人授权磋商小组按照评审原则直接确定成交人。</w:t>
            </w:r>
          </w:p>
        </w:tc>
      </w:tr>
      <w:tr w14:paraId="7DB9742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1FF8CCE6">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0A683AB9">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代理服务费</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0B861FB0">
            <w:pPr>
              <w:kinsoku w:val="0"/>
              <w:autoSpaceDE w:val="0"/>
              <w:spacing w:line="360" w:lineRule="auto"/>
              <w:rPr>
                <w:rFonts w:cs="Arial"/>
                <w:color w:val="000000" w:themeColor="text1"/>
                <w14:textFill>
                  <w14:solidFill>
                    <w14:schemeClr w14:val="tx1"/>
                  </w14:solidFill>
                </w14:textFill>
              </w:rPr>
            </w:pPr>
            <w:r>
              <w:rPr>
                <w:rFonts w:hint="eastAsia" w:cs="Arial"/>
                <w:color w:val="000000" w:themeColor="text1"/>
                <w14:textFill>
                  <w14:solidFill>
                    <w14:schemeClr w14:val="tx1"/>
                  </w14:solidFill>
                </w14:textFill>
              </w:rPr>
              <w:t>收费标准：依照下表的[□货物/■服务/□工程]采购收费标准，以项目成交金额作为基数按照差额定率累进法计算代理服务费，低于5500元按5500元收取。</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6"/>
              <w:gridCol w:w="1780"/>
              <w:gridCol w:w="1780"/>
              <w:gridCol w:w="1780"/>
            </w:tblGrid>
            <w:tr w14:paraId="3894E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2" w:type="dxa"/>
                  <w:vAlign w:val="center"/>
                </w:tcPr>
                <w:p w14:paraId="035A6A6F">
                  <w:pPr>
                    <w:kinsoku w:val="0"/>
                    <w:autoSpaceDE w:val="0"/>
                    <w:spacing w:line="360" w:lineRule="auto"/>
                    <w:jc w:val="center"/>
                    <w:rPr>
                      <w:rFonts w:cs="Arial"/>
                      <w:color w:val="000000" w:themeColor="text1"/>
                      <w14:textFill>
                        <w14:solidFill>
                          <w14:schemeClr w14:val="tx1"/>
                        </w14:solidFill>
                      </w14:textFill>
                    </w:rPr>
                  </w:pPr>
                  <w:r>
                    <w:rPr>
                      <w:rFonts w:hint="eastAsia" w:cs="Arial"/>
                      <w:color w:val="000000" w:themeColor="text1"/>
                      <w14:textFill>
                        <w14:solidFill>
                          <w14:schemeClr w14:val="tx1"/>
                        </w14:solidFill>
                      </w14:textFill>
                    </w:rPr>
                    <w:t>成交金额N</w:t>
                  </w:r>
                </w:p>
                <w:p w14:paraId="30887095">
                  <w:pPr>
                    <w:kinsoku w:val="0"/>
                    <w:autoSpaceDE w:val="0"/>
                    <w:spacing w:line="360" w:lineRule="auto"/>
                    <w:jc w:val="center"/>
                    <w:rPr>
                      <w:color w:val="000000" w:themeColor="text1"/>
                      <w14:textFill>
                        <w14:solidFill>
                          <w14:schemeClr w14:val="tx1"/>
                        </w14:solidFill>
                      </w14:textFill>
                    </w:rPr>
                  </w:pPr>
                  <w:r>
                    <w:rPr>
                      <w:rFonts w:hint="eastAsia" w:cs="Arial"/>
                      <w:color w:val="000000" w:themeColor="text1"/>
                      <w14:textFill>
                        <w14:solidFill>
                          <w14:schemeClr w14:val="tx1"/>
                        </w14:solidFill>
                      </w14:textFill>
                    </w:rPr>
                    <w:t>（万元）</w:t>
                  </w:r>
                </w:p>
              </w:tc>
              <w:tc>
                <w:tcPr>
                  <w:tcW w:w="1793" w:type="dxa"/>
                  <w:vAlign w:val="center"/>
                </w:tcPr>
                <w:p w14:paraId="4AD23B53">
                  <w:pPr>
                    <w:kinsoku w:val="0"/>
                    <w:autoSpaceDE w:val="0"/>
                    <w:spacing w:line="360" w:lineRule="auto"/>
                    <w:jc w:val="center"/>
                    <w:rPr>
                      <w:color w:val="000000" w:themeColor="text1"/>
                      <w14:textFill>
                        <w14:solidFill>
                          <w14:schemeClr w14:val="tx1"/>
                        </w14:solidFill>
                      </w14:textFill>
                    </w:rPr>
                  </w:pPr>
                  <w:r>
                    <w:rPr>
                      <w:rFonts w:hint="eastAsia" w:cs="Arial"/>
                      <w:color w:val="000000" w:themeColor="text1"/>
                      <w14:textFill>
                        <w14:solidFill>
                          <w14:schemeClr w14:val="tx1"/>
                        </w14:solidFill>
                      </w14:textFill>
                    </w:rPr>
                    <w:t>货物采购费率</w:t>
                  </w:r>
                </w:p>
              </w:tc>
              <w:tc>
                <w:tcPr>
                  <w:tcW w:w="1793" w:type="dxa"/>
                  <w:vAlign w:val="center"/>
                </w:tcPr>
                <w:p w14:paraId="7B3412D3">
                  <w:pPr>
                    <w:kinsoku w:val="0"/>
                    <w:autoSpaceDE w:val="0"/>
                    <w:spacing w:line="360" w:lineRule="auto"/>
                    <w:jc w:val="center"/>
                    <w:rPr>
                      <w:color w:val="000000" w:themeColor="text1"/>
                      <w14:textFill>
                        <w14:solidFill>
                          <w14:schemeClr w14:val="tx1"/>
                        </w14:solidFill>
                      </w14:textFill>
                    </w:rPr>
                  </w:pPr>
                  <w:r>
                    <w:rPr>
                      <w:rFonts w:hint="eastAsia" w:cs="Arial"/>
                      <w:color w:val="000000" w:themeColor="text1"/>
                      <w14:textFill>
                        <w14:solidFill>
                          <w14:schemeClr w14:val="tx1"/>
                        </w14:solidFill>
                      </w14:textFill>
                    </w:rPr>
                    <w:t>服务采购费率</w:t>
                  </w:r>
                </w:p>
              </w:tc>
              <w:tc>
                <w:tcPr>
                  <w:tcW w:w="1793" w:type="dxa"/>
                  <w:vAlign w:val="center"/>
                </w:tcPr>
                <w:p w14:paraId="45573B26">
                  <w:pPr>
                    <w:kinsoku w:val="0"/>
                    <w:autoSpaceDE w:val="0"/>
                    <w:spacing w:line="360" w:lineRule="auto"/>
                    <w:jc w:val="center"/>
                    <w:rPr>
                      <w:color w:val="000000" w:themeColor="text1"/>
                      <w14:textFill>
                        <w14:solidFill>
                          <w14:schemeClr w14:val="tx1"/>
                        </w14:solidFill>
                      </w14:textFill>
                    </w:rPr>
                  </w:pPr>
                  <w:r>
                    <w:rPr>
                      <w:rFonts w:hint="eastAsia" w:cs="Arial"/>
                      <w:color w:val="000000" w:themeColor="text1"/>
                      <w14:textFill>
                        <w14:solidFill>
                          <w14:schemeClr w14:val="tx1"/>
                        </w14:solidFill>
                      </w14:textFill>
                    </w:rPr>
                    <w:t>工程采购费率</w:t>
                  </w:r>
                </w:p>
              </w:tc>
            </w:tr>
            <w:tr w14:paraId="450FD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2" w:type="dxa"/>
                  <w:vAlign w:val="center"/>
                </w:tcPr>
                <w:p w14:paraId="3B4B641C">
                  <w:pPr>
                    <w:kinsoku w:val="0"/>
                    <w:autoSpaceDE w:val="0"/>
                    <w:spacing w:line="360" w:lineRule="auto"/>
                    <w:jc w:val="center"/>
                    <w:rPr>
                      <w:color w:val="000000" w:themeColor="text1"/>
                      <w14:textFill>
                        <w14:solidFill>
                          <w14:schemeClr w14:val="tx1"/>
                        </w14:solidFill>
                      </w14:textFill>
                    </w:rPr>
                  </w:pPr>
                  <w:r>
                    <w:rPr>
                      <w:rFonts w:hint="eastAsia" w:cs="Arial"/>
                      <w:color w:val="000000" w:themeColor="text1"/>
                      <w14:textFill>
                        <w14:solidFill>
                          <w14:schemeClr w14:val="tx1"/>
                        </w14:solidFill>
                      </w14:textFill>
                    </w:rPr>
                    <w:t>0＜N≤100</w:t>
                  </w:r>
                </w:p>
              </w:tc>
              <w:tc>
                <w:tcPr>
                  <w:tcW w:w="1793" w:type="dxa"/>
                  <w:tcBorders>
                    <w:top w:val="single" w:color="auto" w:sz="4" w:space="0"/>
                    <w:left w:val="single" w:color="auto" w:sz="4" w:space="0"/>
                    <w:right w:val="single" w:color="auto" w:sz="4" w:space="0"/>
                  </w:tcBorders>
                  <w:vAlign w:val="center"/>
                </w:tcPr>
                <w:p w14:paraId="2378E85B">
                  <w:pPr>
                    <w:kinsoku w:val="0"/>
                    <w:autoSpaceDE w:val="0"/>
                    <w:spacing w:line="360" w:lineRule="auto"/>
                    <w:jc w:val="center"/>
                    <w:rPr>
                      <w:color w:val="000000" w:themeColor="text1"/>
                      <w14:textFill>
                        <w14:solidFill>
                          <w14:schemeClr w14:val="tx1"/>
                        </w14:solidFill>
                      </w14:textFill>
                    </w:rPr>
                  </w:pPr>
                  <w:r>
                    <w:rPr>
                      <w:rFonts w:hint="eastAsia" w:cs="Arial"/>
                      <w:color w:val="000000" w:themeColor="text1"/>
                      <w14:textFill>
                        <w14:solidFill>
                          <w14:schemeClr w14:val="tx1"/>
                        </w14:solidFill>
                      </w14:textFill>
                    </w:rPr>
                    <w:t>1.50%</w:t>
                  </w:r>
                </w:p>
              </w:tc>
              <w:tc>
                <w:tcPr>
                  <w:tcW w:w="1793" w:type="dxa"/>
                  <w:tcBorders>
                    <w:top w:val="single" w:color="auto" w:sz="4" w:space="0"/>
                    <w:left w:val="single" w:color="auto" w:sz="4" w:space="0"/>
                    <w:right w:val="single" w:color="auto" w:sz="4" w:space="0"/>
                  </w:tcBorders>
                  <w:vAlign w:val="center"/>
                </w:tcPr>
                <w:p w14:paraId="7EC1D74E">
                  <w:pPr>
                    <w:kinsoku w:val="0"/>
                    <w:autoSpaceDE w:val="0"/>
                    <w:spacing w:line="360" w:lineRule="auto"/>
                    <w:jc w:val="center"/>
                    <w:rPr>
                      <w:color w:val="000000" w:themeColor="text1"/>
                      <w14:textFill>
                        <w14:solidFill>
                          <w14:schemeClr w14:val="tx1"/>
                        </w14:solidFill>
                      </w14:textFill>
                    </w:rPr>
                  </w:pPr>
                  <w:r>
                    <w:rPr>
                      <w:rFonts w:hint="eastAsia" w:cs="Arial"/>
                      <w:color w:val="000000" w:themeColor="text1"/>
                      <w14:textFill>
                        <w14:solidFill>
                          <w14:schemeClr w14:val="tx1"/>
                        </w14:solidFill>
                      </w14:textFill>
                    </w:rPr>
                    <w:t>1.50%</w:t>
                  </w:r>
                </w:p>
              </w:tc>
              <w:tc>
                <w:tcPr>
                  <w:tcW w:w="1793" w:type="dxa"/>
                  <w:vAlign w:val="center"/>
                </w:tcPr>
                <w:p w14:paraId="6B76966A">
                  <w:pPr>
                    <w:kinsoku w:val="0"/>
                    <w:autoSpaceDE w:val="0"/>
                    <w:spacing w:line="360" w:lineRule="auto"/>
                    <w:jc w:val="center"/>
                    <w:rPr>
                      <w:color w:val="000000" w:themeColor="text1"/>
                      <w14:textFill>
                        <w14:solidFill>
                          <w14:schemeClr w14:val="tx1"/>
                        </w14:solidFill>
                      </w14:textFill>
                    </w:rPr>
                  </w:pPr>
                  <w:r>
                    <w:rPr>
                      <w:rFonts w:hint="eastAsia" w:cs="Arial"/>
                      <w:color w:val="000000" w:themeColor="text1"/>
                      <w14:textFill>
                        <w14:solidFill>
                          <w14:schemeClr w14:val="tx1"/>
                        </w14:solidFill>
                      </w14:textFill>
                    </w:rPr>
                    <w:t>1.00%</w:t>
                  </w:r>
                </w:p>
              </w:tc>
            </w:tr>
          </w:tbl>
          <w:p w14:paraId="39CCE3B6">
            <w:pPr>
              <w:pStyle w:val="11"/>
              <w:spacing w:line="360" w:lineRule="auto"/>
              <w:rPr>
                <w:color w:val="000000" w:themeColor="text1"/>
                <w14:textFill>
                  <w14:solidFill>
                    <w14:schemeClr w14:val="tx1"/>
                  </w14:solidFill>
                </w14:textFill>
              </w:rPr>
            </w:pPr>
          </w:p>
        </w:tc>
      </w:tr>
      <w:tr w14:paraId="7178158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123"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47080AC9">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7EF67E70">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代理服务费收取方式</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4E073CC0">
            <w:pPr>
              <w:pStyle w:val="11"/>
              <w:spacing w:before="156" w:beforeLines="50" w:after="156" w:afterLines="5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向成交供应商收取</w:t>
            </w:r>
          </w:p>
        </w:tc>
      </w:tr>
      <w:tr w14:paraId="1CBD307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6243D174">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5750D3EC">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响应文件数量和要求</w:t>
            </w:r>
          </w:p>
        </w:tc>
        <w:tc>
          <w:tcPr>
            <w:tcW w:w="8970" w:type="dxa"/>
            <w:tcBorders>
              <w:top w:val="single" w:color="auto" w:sz="4" w:space="0"/>
              <w:left w:val="single" w:color="auto" w:sz="4" w:space="0"/>
              <w:bottom w:val="single" w:color="auto" w:sz="4" w:space="0"/>
              <w:right w:val="single" w:color="auto" w:sz="4" w:space="0"/>
              <w:tl2br w:val="nil"/>
              <w:tr2bl w:val="nil"/>
            </w:tcBorders>
          </w:tcPr>
          <w:p w14:paraId="3BDFA64E">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1.正本1份，副本2份，电子文件1份。正本与副本不一致时，以正本为准。</w:t>
            </w:r>
          </w:p>
          <w:p w14:paraId="427BA2DD">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2.电子文件：应包含纸质响应文件全部内容，以U盘或者光盘形式存储；电子文件中应包含Word等可编辑文档和签字盖章版的PDF扫描件；响应文件包括的其他电子文档（如视频等）也应包含在内；分项报价表，需提供Excel版本。</w:t>
            </w:r>
          </w:p>
        </w:tc>
      </w:tr>
      <w:tr w14:paraId="03A99C8F">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1D245FB5">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0753B54C">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响应文件密封要求</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3582E6C6">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响应文件正本、电子文件与副本可以单独密封包装，也可以所有响应文件密封包装在一个密封袋内，密封袋的封口处应粘贴处理。</w:t>
            </w:r>
          </w:p>
        </w:tc>
      </w:tr>
      <w:tr w14:paraId="579AB2C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18AEBDA0">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33F8D60C">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递交方式</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5964AC1">
            <w:pPr>
              <w:pStyle w:val="11"/>
              <w:spacing w:line="360" w:lineRule="auto"/>
              <w:rPr>
                <w:color w:val="000000" w:themeColor="text1"/>
                <w14:textFill>
                  <w14:solidFill>
                    <w14:schemeClr w14:val="tx1"/>
                  </w14:solidFill>
                </w14:textFill>
              </w:rPr>
            </w:pPr>
            <w:r>
              <w:rPr>
                <w:color w:val="000000" w:themeColor="text1"/>
                <w14:textFill>
                  <w14:solidFill>
                    <w14:schemeClr w14:val="tx1"/>
                  </w14:solidFill>
                </w14:textFill>
              </w:rPr>
              <w:t>须在</w:t>
            </w:r>
            <w:r>
              <w:rPr>
                <w:rFonts w:hint="eastAsia"/>
                <w:color w:val="000000" w:themeColor="text1"/>
                <w14:textFill>
                  <w14:solidFill>
                    <w14:schemeClr w14:val="tx1"/>
                  </w14:solidFill>
                </w14:textFill>
              </w:rPr>
              <w:t>响应文件提交</w:t>
            </w:r>
            <w:r>
              <w:rPr>
                <w:color w:val="000000" w:themeColor="text1"/>
                <w14:textFill>
                  <w14:solidFill>
                    <w14:schemeClr w14:val="tx1"/>
                  </w14:solidFill>
                </w14:textFill>
              </w:rPr>
              <w:t>截止时间前现场递交</w:t>
            </w:r>
            <w:r>
              <w:rPr>
                <w:rFonts w:hint="eastAsia"/>
                <w:color w:val="000000" w:themeColor="text1"/>
                <w14:textFill>
                  <w14:solidFill>
                    <w14:schemeClr w14:val="tx1"/>
                  </w14:solidFill>
                </w14:textFill>
              </w:rPr>
              <w:t>，不接受邮寄等其他方式。</w:t>
            </w:r>
          </w:p>
        </w:tc>
      </w:tr>
      <w:tr w14:paraId="000A47CF">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1109"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74483859">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10A23B28">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合同签订</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385F02B">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本磋商文件提供的合同文本仅供参考，具体条款内容由采购人和成交供应商协商确定，但不得对磋商文件和响应文件的实质性条款作出变更，且必须包括但不限于标的名称，采购标的质量、数量（规模），履行时间（期限）、地点和方式，包装方式（如有），价款或者报酬、付款进度安排、资金支付方式，验收、交付标准和方法，质量保修范围（如有）和保修期（如有），违约责任与解决争议的方法等内容。</w:t>
            </w:r>
          </w:p>
        </w:tc>
      </w:tr>
      <w:tr w14:paraId="62BA87ED">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5D941F28">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2071C51B">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专门面向中小企业采购</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FB55B85">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□是 / ■否</w:t>
            </w:r>
          </w:p>
        </w:tc>
      </w:tr>
      <w:tr w14:paraId="2A80407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3913B1A1">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0D165A5E">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项目属性</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0A7127D5">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□货物项目 / ■服务项目 / □工程项目</w:t>
            </w:r>
          </w:p>
        </w:tc>
      </w:tr>
      <w:tr w14:paraId="682041F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22E1ED73">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401661C4">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是否允许进口产品</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02C3FAB0">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□是 / ■否</w:t>
            </w:r>
          </w:p>
        </w:tc>
      </w:tr>
      <w:tr w14:paraId="78D2068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1CB7162C">
            <w:pPr>
              <w:pStyle w:val="11"/>
              <w:numPr>
                <w:ilvl w:val="0"/>
                <w:numId w:val="7"/>
              </w:numPr>
              <w:spacing w:line="360" w:lineRule="auto"/>
              <w:ind w:left="0" w:firstLine="0"/>
              <w:jc w:val="center"/>
              <w:rPr>
                <w:color w:val="000000" w:themeColor="text1"/>
                <w14:textFill>
                  <w14:solidFill>
                    <w14:schemeClr w14:val="tx1"/>
                  </w14:solidFill>
                </w14:textFill>
              </w:rP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70BFD7AF">
            <w:pPr>
              <w:pStyle w:val="11"/>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合同分包</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7B8E7B41">
            <w:pPr>
              <w:pStyle w:val="37"/>
              <w:autoSpaceDN/>
              <w:spacing w:line="36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本项目的非主体、非关键性工作是否允许分包：</w:t>
            </w:r>
          </w:p>
          <w:p w14:paraId="54626396">
            <w:pPr>
              <w:pStyle w:val="37"/>
              <w:autoSpaceDN/>
              <w:spacing w:line="36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■不允许</w:t>
            </w:r>
          </w:p>
          <w:p w14:paraId="10B7D261">
            <w:pPr>
              <w:pStyle w:val="37"/>
              <w:autoSpaceDN/>
              <w:spacing w:line="36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□允许，具体要求：</w:t>
            </w:r>
          </w:p>
          <w:p w14:paraId="4D5F5197">
            <w:pPr>
              <w:pStyle w:val="37"/>
              <w:autoSpaceDN/>
              <w:spacing w:line="36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（1）可以分包履行的具体内容：_____；</w:t>
            </w:r>
          </w:p>
          <w:p w14:paraId="595F1F97">
            <w:pPr>
              <w:pStyle w:val="37"/>
              <w:autoSpaceDN/>
              <w:spacing w:line="36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（2）允许分包的金额或者比例：_____；</w:t>
            </w:r>
          </w:p>
          <w:p w14:paraId="51FDB83B">
            <w:pPr>
              <w:pStyle w:val="37"/>
              <w:autoSpaceDN/>
              <w:spacing w:line="36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（3）分包供应商必须具备的资质：_____；</w:t>
            </w:r>
          </w:p>
          <w:p w14:paraId="578EC370">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（4）其他要求：_____。</w:t>
            </w:r>
          </w:p>
        </w:tc>
      </w:tr>
    </w:tbl>
    <w:p w14:paraId="2CF04660">
      <w:pPr>
        <w:spacing w:line="360" w:lineRule="auto"/>
        <w:rPr>
          <w:color w:val="000000" w:themeColor="text1"/>
          <w14:textFill>
            <w14:solidFill>
              <w14:schemeClr w14:val="tx1"/>
            </w14:solidFill>
          </w14:textFill>
        </w:rPr>
      </w:pPr>
      <w:bookmarkStart w:id="66" w:name="_Toc104040690"/>
      <w:bookmarkEnd w:id="66"/>
    </w:p>
    <w:p w14:paraId="7987C2BD">
      <w:pPr>
        <w:pStyle w:val="3"/>
        <w:keepLines w:val="0"/>
        <w:numPr>
          <w:ilvl w:val="0"/>
          <w:numId w:val="6"/>
        </w:numPr>
        <w:spacing w:before="120" w:after="120" w:line="360" w:lineRule="auto"/>
        <w:ind w:left="0" w:firstLine="0"/>
        <w:jc w:val="left"/>
        <w:rPr>
          <w:rFonts w:hint="eastAsia" w:ascii="宋体" w:eastAsia="宋体"/>
          <w:color w:val="000000" w:themeColor="text1"/>
          <w:sz w:val="21"/>
          <w:szCs w:val="21"/>
          <w14:textFill>
            <w14:solidFill>
              <w14:schemeClr w14:val="tx1"/>
            </w14:solidFill>
          </w14:textFill>
        </w:rPr>
      </w:pPr>
      <w:bookmarkStart w:id="67" w:name="_Toc28713"/>
      <w:bookmarkEnd w:id="67"/>
      <w:bookmarkStart w:id="68" w:name="_Toc28224"/>
      <w:r>
        <w:rPr>
          <w:rFonts w:hint="eastAsia" w:ascii="宋体" w:eastAsia="宋体"/>
          <w:color w:val="000000" w:themeColor="text1"/>
          <w:sz w:val="21"/>
          <w:szCs w:val="21"/>
          <w14:textFill>
            <w14:solidFill>
              <w14:schemeClr w14:val="tx1"/>
            </w14:solidFill>
          </w14:textFill>
        </w:rPr>
        <w:t>说明</w:t>
      </w:r>
      <w:bookmarkEnd w:id="68"/>
    </w:p>
    <w:p w14:paraId="5A674F66">
      <w:pPr>
        <w:pStyle w:val="40"/>
        <w:numPr>
          <w:ilvl w:val="1"/>
          <w:numId w:val="8"/>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总则</w:t>
      </w:r>
    </w:p>
    <w:p w14:paraId="51F94581">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磋商文件参照《中华人民共和国政府采购法》、《中华人民共和国政府采购法实施条例》（国务院令第658号）和《政府采购竞争性磋商采购方式管理暂行办法》（财库〔2014〕214号）及国家和广东省有关法律、法规、规章制度编制。</w:t>
      </w:r>
    </w:p>
    <w:p w14:paraId="6C62D0EC">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供应商应仔细阅读本项目信息公告及磋商文件的所有内容（包括变更、补充、澄清以及修改等，且均为磋商文件的组成部分），按照磋商文件要求以及格式编制响应文件，并保证其真实性，否则一切后果自负。</w:t>
      </w:r>
    </w:p>
    <w:p w14:paraId="771C70B5">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本次竞争性磋商项目，是以磋商公告的方式邀请非特定的供应商参加磋商。</w:t>
      </w:r>
    </w:p>
    <w:p w14:paraId="69EF35A3">
      <w:pPr>
        <w:pStyle w:val="40"/>
        <w:numPr>
          <w:ilvl w:val="1"/>
          <w:numId w:val="8"/>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适用范围</w:t>
      </w:r>
    </w:p>
    <w:p w14:paraId="6EA7A290">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本磋商文件仅适用于本次磋商公告中所涉及的项目和内容。</w:t>
      </w:r>
    </w:p>
    <w:p w14:paraId="5CD02ECC">
      <w:pPr>
        <w:pStyle w:val="40"/>
        <w:numPr>
          <w:ilvl w:val="1"/>
          <w:numId w:val="8"/>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进口产品</w:t>
      </w:r>
    </w:p>
    <w:p w14:paraId="4C2DCC9F">
      <w:pPr>
        <w:pStyle w:val="11"/>
        <w:spacing w:line="360" w:lineRule="auto"/>
        <w:ind w:firstLine="420" w:firstLineChars="200"/>
        <w:rPr>
          <w:color w:val="000000" w:themeColor="text1"/>
          <w14:textFill>
            <w14:solidFill>
              <w14:schemeClr w14:val="tx1"/>
            </w14:solidFill>
          </w14:textFill>
        </w:rPr>
      </w:pPr>
      <w:bookmarkStart w:id="69" w:name="_Hlk175748271"/>
      <w:bookmarkEnd w:id="69"/>
      <w:r>
        <w:rPr>
          <w:rFonts w:hint="eastAsia"/>
          <w:color w:val="000000" w:themeColor="text1"/>
          <w14:textFill>
            <w14:solidFill>
              <w14:schemeClr w14:val="tx1"/>
            </w14:solidFill>
          </w14:textFill>
        </w:rPr>
        <w:t>指通过中国海关报关验放进入中国境内且产自关境外的产品，包括已经进入中国境内的进口产品。关于进口产品的相关规定依据《政府采购进口产品管理办法》（财库〔2007〕119号文）、《关于政府采购进口产品管理有关问题的通知》（财办库〔2008〕248号文）。</w:t>
      </w:r>
    </w:p>
    <w:p w14:paraId="582FFDE3">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若本项目允许采购进口产品，供应商应保证所投产品可履行合法报通关手续进入中国关境内。</w:t>
      </w:r>
    </w:p>
    <w:p w14:paraId="5B3BA69F">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若本项目不允许采购进口产品，如供应商所投产品为进口产品，其响应将被认定为响应无效。</w:t>
      </w:r>
    </w:p>
    <w:p w14:paraId="3CC15906">
      <w:pPr>
        <w:pStyle w:val="40"/>
        <w:numPr>
          <w:ilvl w:val="1"/>
          <w:numId w:val="8"/>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磋商费用</w:t>
      </w:r>
    </w:p>
    <w:p w14:paraId="3AF47130">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不论磋商结果如何，供应商应承担所有与准备和参加磋商有关的费用。采购代理机构和采购人均无义务和责任承担相关费用。</w:t>
      </w:r>
    </w:p>
    <w:p w14:paraId="13659CF7">
      <w:pPr>
        <w:pStyle w:val="40"/>
        <w:numPr>
          <w:ilvl w:val="1"/>
          <w:numId w:val="8"/>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以联合体形式磋商的，应符合以下规定：</w:t>
      </w:r>
    </w:p>
    <w:p w14:paraId="6B026AAA">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5.1联合体各方均应当满足《中华人民共和国政府采购法》第二十二条规定的条件，并在响应文件中提供联合体各方的相关证明材料。</w:t>
      </w:r>
    </w:p>
    <w:p w14:paraId="5A68B991">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0C295F6B">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5.3联合体名称需与联合体共同响应协议书签署方一致。对于需交响应保证金的，以牵头方名义缴纳。</w:t>
      </w:r>
    </w:p>
    <w:p w14:paraId="70C4064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5.4联合体成员存在不良信用记录的，视同联合体存在不良信用记录。</w:t>
      </w:r>
    </w:p>
    <w:p w14:paraId="23D38924">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18EDAAE5">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5.6联合体各方应当共同与江门海关签订采购合同，就合同约定的事项对江门海关承担连带责任。</w:t>
      </w:r>
    </w:p>
    <w:p w14:paraId="3BF47C0C">
      <w:pPr>
        <w:pStyle w:val="11"/>
        <w:spacing w:line="360" w:lineRule="auto"/>
        <w:ind w:firstLine="420" w:firstLineChars="200"/>
        <w:rPr>
          <w:color w:val="000000" w:themeColor="text1"/>
          <w14:textFill>
            <w14:solidFill>
              <w14:schemeClr w14:val="tx1"/>
            </w14:solidFill>
          </w14:textFill>
        </w:rPr>
      </w:pPr>
      <w:bookmarkStart w:id="70" w:name="_Hlk175748324"/>
      <w:bookmarkEnd w:id="70"/>
      <w:r>
        <w:rPr>
          <w:rFonts w:hint="eastAsia"/>
          <w:color w:val="000000" w:themeColor="text1"/>
          <w14:textFill>
            <w14:solidFill>
              <w14:schemeClr w14:val="tx1"/>
            </w14:solidFill>
          </w14:textFill>
        </w:rPr>
        <w:t>5.7大中型企业、其他自然人、法人或者非法人组织与小型、微型企业组成联合体共同参加投标（响应），共同响应协议中应写明小型、微型企业的协议合同金额占到共同响应协议投标（响应）总金额的比例。</w:t>
      </w:r>
    </w:p>
    <w:p w14:paraId="3E190E80">
      <w:pPr>
        <w:pStyle w:val="40"/>
        <w:numPr>
          <w:ilvl w:val="1"/>
          <w:numId w:val="8"/>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关联企业响应说明</w:t>
      </w:r>
    </w:p>
    <w:p w14:paraId="3B590745">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6.1对于不接受联合体响应的采购项目（采购包组）：法定代表人或单位负责人为同一个人或者存在直接控股、管理关系的不同供应商，不得同时参加同一项目或同一采购包的响应。如同时参加，则评审时将同时被拒绝。</w:t>
      </w:r>
    </w:p>
    <w:p w14:paraId="031FE4B4">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6.2对于接受联合体响应的采购项目（采购包组）：除联合体外，法定代表人或单位负责人为同一个人或者存在直接控股、管理关系的不同供应商，不得同时参加同一项目或同一采购包组的响应。如同时参加，则评审时将同时被拒绝。</w:t>
      </w:r>
    </w:p>
    <w:p w14:paraId="6871B85B">
      <w:pPr>
        <w:pStyle w:val="40"/>
        <w:numPr>
          <w:ilvl w:val="1"/>
          <w:numId w:val="8"/>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关于中小微企业响应</w:t>
      </w:r>
    </w:p>
    <w:p w14:paraId="0CAF0B1C">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 和《金融业企业划型标准规定》（银发〔2015〕309号）。</w:t>
      </w:r>
    </w:p>
    <w:p w14:paraId="5092527F">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3B6B48A4">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根据财库〔2017〕141号《财政部 民政部 中国残疾人联合会关于促进残疾人就业政府采购政策的通知》，在采购活动中，残疾人福利性单位视同小型、微型企业，享受政府采购支持政策的残疾人福利性单位应当同时满足《财政部 民政部 中国残疾人联合会关于促进残疾人就业政府采购政策的通知》所列条件：</w:t>
      </w:r>
    </w:p>
    <w:p w14:paraId="2206B8C0">
      <w:pPr>
        <w:pStyle w:val="11"/>
        <w:spacing w:line="360" w:lineRule="auto"/>
        <w:ind w:firstLine="420" w:firstLineChars="200"/>
        <w:rPr>
          <w:color w:val="000000" w:themeColor="text1"/>
          <w14:textFill>
            <w14:solidFill>
              <w14:schemeClr w14:val="tx1"/>
            </w14:solidFill>
          </w14:textFill>
        </w:rPr>
      </w:pPr>
      <w:bookmarkStart w:id="71" w:name="_Hlk175747404"/>
      <w:bookmarkEnd w:id="71"/>
      <w:r>
        <w:rPr>
          <w:rFonts w:hint="eastAsia"/>
          <w:color w:val="000000" w:themeColor="text1"/>
          <w14:textFill>
            <w14:solidFill>
              <w14:schemeClr w14:val="tx1"/>
            </w14:solidFill>
          </w14:textFill>
        </w:rPr>
        <w:t>（1）安置的残疾人占本单位在职职工人数的比例不低于25%（含25%），并且安置的残疾人人数不少于10 人（含10 人）；</w:t>
      </w:r>
    </w:p>
    <w:p w14:paraId="0B61AEF0">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（2）依法与安置的每位残疾人签订了一年以上（含一年）的劳动合同或服务协议；</w:t>
      </w:r>
    </w:p>
    <w:p w14:paraId="702280F1">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（3）为安置的每位残疾人按月足额缴纳了基本养老保险、基本医疗保险、失业保险、工伤保险和生育保险等社会保险费；</w:t>
      </w:r>
    </w:p>
    <w:p w14:paraId="12AB8530">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（4）通过银行等金融机构向安置的每位残疾人，按月支付了不低于单位所在区县适用的经省级人民政府批准的月最低工资标准的工资；</w:t>
      </w:r>
    </w:p>
    <w:p w14:paraId="786F44B5">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（5）提供本单位制造的货物、承担的工程或者服务（以下简称产品），或者提供其他残疾人福利性单位制造的货物（不包括使用非残疾人福利性单位注册商标的货物）。</w:t>
      </w:r>
    </w:p>
    <w:p w14:paraId="0ED8573E">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前款所称残疾人是指法定劳动年龄内，持有《中华人民共和国残疾人证》或者《中华人民共和国残疾军人证（1 至8 级）》的自然人，包括具有劳动条件和劳动意愿的精神残疾人。在职职工人数是指与残疾人福利性单位建立劳动关系并依法签订劳动合同或服务协议的雇员人数。</w:t>
      </w:r>
    </w:p>
    <w:p w14:paraId="265C8E3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残疾人福利性单位属于小型、微型企业的，不重复享受政策。符合条件的残疾人福利性单位在参加采购活动时，应当提供《残疾人福利性单位声明函》，并对声明的真实性负责。</w:t>
      </w:r>
    </w:p>
    <w:p w14:paraId="7539F242">
      <w:pPr>
        <w:pStyle w:val="40"/>
        <w:numPr>
          <w:ilvl w:val="1"/>
          <w:numId w:val="8"/>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纪律与保密事项</w:t>
      </w:r>
    </w:p>
    <w:p w14:paraId="6AA26646">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8.1供应商不得相互串通磋商报价，不得妨碍其他供应商的公平竞争，不得损害采购人或其他供应商的合法权益，供应商不得以向采购人、磋商小组成员行贿或者采取其他不正当手段谋取成交。</w:t>
      </w:r>
    </w:p>
    <w:p w14:paraId="38CF1B29">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8.2供应商不得与采购人就响应价格、响应方案等实质性内容进行磋商，也不得私下接触磋商小组成员。</w:t>
      </w:r>
    </w:p>
    <w:p w14:paraId="3AA88C28">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8.3在确定成交供应商之前，供应商试图在响应文件审查、澄清、比较和评价时对磋商小组、采购人和采购代理机构施加任何影响都可能导致其响应无效。</w:t>
      </w:r>
    </w:p>
    <w:p w14:paraId="0EE3E43F">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8.4获得本磋商文件者，须履行本磋商项目下保密义务，不得将因本次磋商获得的信息向第三人外传，不得将磋商文件用作本次响应以外的任何用途。</w:t>
      </w:r>
    </w:p>
    <w:p w14:paraId="5184CA01">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14:paraId="296C9C14">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8.6采购人或采购代理机构有权将供应商提供的所有资料向有关政府部门或磋商小组披露。</w:t>
      </w:r>
    </w:p>
    <w:p w14:paraId="5C8920B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5A42AC1A">
      <w:pPr>
        <w:pStyle w:val="40"/>
        <w:numPr>
          <w:ilvl w:val="1"/>
          <w:numId w:val="8"/>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语言文字以及度量衡单位</w:t>
      </w:r>
    </w:p>
    <w:p w14:paraId="5281F2C2">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76C303B2">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9.2除非磋商文件的技术规格中另有规定，供应商在响应文件中及其与采购人和采购代理机构的所有往来文件中的计量单位均应采用中华人民共和国法定计量单位。</w:t>
      </w:r>
    </w:p>
    <w:p w14:paraId="4D2B00D9">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9.3供应商所提供的货物和服务均应以人民币报价，货币单位：元。</w:t>
      </w:r>
    </w:p>
    <w:p w14:paraId="6CC13D2F">
      <w:pPr>
        <w:pStyle w:val="40"/>
        <w:numPr>
          <w:ilvl w:val="1"/>
          <w:numId w:val="8"/>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现场踏勘（如有）</w:t>
      </w:r>
    </w:p>
    <w:p w14:paraId="76121E9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10.1磋商文件规定组织踏勘现场的，采购人按磋商文件规定的时间、地点组织供应商踏勘项目现场。</w:t>
      </w:r>
    </w:p>
    <w:p w14:paraId="3A541D0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10.2供应商自行承担踏勘现场发生的责任、风险和自身费用。</w:t>
      </w:r>
    </w:p>
    <w:p w14:paraId="5CEE64C3">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10.3采购人在踏勘现场中介绍的资料和数据等，不构成对磋商文件的修改或不作为供应商编制响应文件的依据。</w:t>
      </w:r>
    </w:p>
    <w:p w14:paraId="167485FA">
      <w:pPr>
        <w:pStyle w:val="40"/>
        <w:numPr>
          <w:ilvl w:val="1"/>
          <w:numId w:val="8"/>
        </w:numPr>
        <w:spacing w:before="156" w:beforeLines="50" w:after="156" w:afterLines="50" w:line="360" w:lineRule="auto"/>
        <w:outlineLvl w:val="2"/>
        <w:rPr>
          <w:rFonts w:hint="eastAsia" w:ascii="宋体"/>
          <w:b/>
          <w:bCs/>
          <w:color w:val="000000" w:themeColor="text1"/>
          <w14:textFill>
            <w14:solidFill>
              <w14:schemeClr w14:val="tx1"/>
            </w14:solidFill>
          </w14:textFill>
        </w:rPr>
      </w:pPr>
      <w:bookmarkStart w:id="72" w:name="_Hlk175747422"/>
      <w:bookmarkEnd w:id="72"/>
      <w:r>
        <w:rPr>
          <w:rFonts w:hint="eastAsia" w:ascii="宋体"/>
          <w:b/>
          <w:bCs/>
          <w:color w:val="000000" w:themeColor="text1"/>
          <w14:textFill>
            <w14:solidFill>
              <w14:schemeClr w14:val="tx1"/>
            </w14:solidFill>
          </w14:textFill>
        </w:rPr>
        <w:t>转包与分包</w:t>
      </w:r>
    </w:p>
    <w:p w14:paraId="55F4A84B">
      <w:pPr>
        <w:pStyle w:val="37"/>
        <w:autoSpaceDN/>
        <w:snapToGrid w:val="0"/>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11.1本项目不允许转包。</w:t>
      </w:r>
    </w:p>
    <w:p w14:paraId="691E0898">
      <w:pPr>
        <w:pStyle w:val="37"/>
        <w:autoSpaceDN/>
        <w:snapToGrid w:val="0"/>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11.2本项目是否允许分包详见“须知前附表”，本项目不允许违法分包。允许分包的非主体、非关键性工作，根据法律法规规定承担该工作需要行政许可的，如该工作由供应商自行承担，供应商应具备相应的行政许可，如供应商不具备相应的行政许可必须采用分包的方式，但分包供应商应具备相应行政许可。</w:t>
      </w:r>
    </w:p>
    <w:p w14:paraId="49EB1A12">
      <w:pPr>
        <w:pStyle w:val="37"/>
        <w:autoSpaceDN/>
        <w:snapToGrid w:val="0"/>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11.3供应商根据磋商文件的规定和采购项目的实际情况，拟在成交后将成交项目的非主体、非关键性工作分包的，应当在响应文件中载明分包承担主体，分包承担主体应当具备相应资质条件且不得再次分包。</w:t>
      </w:r>
    </w:p>
    <w:p w14:paraId="1D62BEF5">
      <w:pPr>
        <w:pStyle w:val="37"/>
        <w:autoSpaceDN/>
        <w:snapToGrid w:val="0"/>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11.4享受中小企业扶持政策获得采购合同的，小微企业不得将合同分包给大中型企业，中型企业不得将合同分包给大型企业。</w:t>
      </w:r>
    </w:p>
    <w:p w14:paraId="5925BB77">
      <w:pPr>
        <w:pStyle w:val="37"/>
        <w:autoSpaceDN/>
        <w:snapToGrid w:val="0"/>
        <w:spacing w:line="360" w:lineRule="auto"/>
        <w:ind w:firstLine="420"/>
        <w:rPr>
          <w:color w:val="000000" w:themeColor="text1"/>
          <w14:textFill>
            <w14:solidFill>
              <w14:schemeClr w14:val="tx1"/>
            </w14:solidFill>
          </w14:textFill>
        </w:rPr>
      </w:pPr>
      <w:r>
        <w:rPr>
          <w:rFonts w:hint="eastAsia"/>
          <w:color w:val="000000" w:themeColor="text1"/>
          <w:sz w:val="21"/>
          <w:szCs w:val="21"/>
          <w14:textFill>
            <w14:solidFill>
              <w14:schemeClr w14:val="tx1"/>
            </w14:solidFill>
          </w14:textFill>
        </w:rPr>
        <w:t>11.5供应商应在签订采购合同前向江门海关提供分包合同，否则，江门海关有权拒绝签订采购合同。</w:t>
      </w:r>
    </w:p>
    <w:p w14:paraId="70EB3395">
      <w:pPr>
        <w:pStyle w:val="3"/>
        <w:keepLines w:val="0"/>
        <w:numPr>
          <w:ilvl w:val="0"/>
          <w:numId w:val="6"/>
        </w:numPr>
        <w:spacing w:before="120" w:after="120" w:line="360" w:lineRule="auto"/>
        <w:ind w:left="0" w:firstLine="0"/>
        <w:jc w:val="left"/>
        <w:rPr>
          <w:rFonts w:hint="eastAsia" w:ascii="宋体" w:eastAsia="宋体"/>
          <w:color w:val="000000" w:themeColor="text1"/>
          <w:sz w:val="21"/>
          <w:szCs w:val="21"/>
          <w14:textFill>
            <w14:solidFill>
              <w14:schemeClr w14:val="tx1"/>
            </w14:solidFill>
          </w14:textFill>
        </w:rPr>
      </w:pPr>
      <w:bookmarkStart w:id="73" w:name="_Toc12790"/>
      <w:bookmarkEnd w:id="73"/>
      <w:bookmarkStart w:id="74" w:name="_Toc22959"/>
      <w:bookmarkStart w:id="75" w:name="_Toc104040691"/>
      <w:r>
        <w:rPr>
          <w:rFonts w:hint="eastAsia" w:ascii="宋体" w:eastAsia="宋体"/>
          <w:color w:val="000000" w:themeColor="text1"/>
          <w:sz w:val="21"/>
          <w:szCs w:val="21"/>
          <w14:textFill>
            <w14:solidFill>
              <w14:schemeClr w14:val="tx1"/>
            </w14:solidFill>
          </w14:textFill>
        </w:rPr>
        <w:t>磋商文件的澄清和修改</w:t>
      </w:r>
      <w:bookmarkEnd w:id="74"/>
      <w:bookmarkEnd w:id="75"/>
    </w:p>
    <w:p w14:paraId="20BB4B1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6834D830">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11AFFB79">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3.如更正公告有重新发布磋商文件的，供应商应重新获取最新发布的磋商文件制作响应文件。</w:t>
      </w:r>
    </w:p>
    <w:p w14:paraId="4167BBA2">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4.供应商在规定的时间内未对磋商文件提出疑问、质疑或要求澄清的，将视其为无异议。对磋商文件中描述有歧义或前后不一致的地方，磋商小组有权进行评判，但对同一条款的评判应适用于每个供应商。</w:t>
      </w:r>
    </w:p>
    <w:p w14:paraId="078E44DB">
      <w:pPr>
        <w:pStyle w:val="3"/>
        <w:keepLines w:val="0"/>
        <w:numPr>
          <w:ilvl w:val="0"/>
          <w:numId w:val="6"/>
        </w:numPr>
        <w:spacing w:before="120" w:after="120" w:line="360" w:lineRule="auto"/>
        <w:ind w:left="0" w:firstLine="0"/>
        <w:jc w:val="left"/>
        <w:rPr>
          <w:rFonts w:hint="eastAsia" w:ascii="宋体" w:eastAsia="宋体"/>
          <w:color w:val="000000" w:themeColor="text1"/>
          <w:sz w:val="21"/>
          <w:szCs w:val="21"/>
          <w14:textFill>
            <w14:solidFill>
              <w14:schemeClr w14:val="tx1"/>
            </w14:solidFill>
          </w14:textFill>
        </w:rPr>
      </w:pPr>
      <w:bookmarkStart w:id="76" w:name="_Toc104040692"/>
      <w:bookmarkEnd w:id="76"/>
      <w:bookmarkStart w:id="77" w:name="_Toc24330"/>
      <w:bookmarkStart w:id="78" w:name="_Toc25447"/>
      <w:r>
        <w:rPr>
          <w:rFonts w:hint="eastAsia" w:ascii="宋体" w:eastAsia="宋体"/>
          <w:color w:val="000000" w:themeColor="text1"/>
          <w:sz w:val="21"/>
          <w:szCs w:val="21"/>
          <w14:textFill>
            <w14:solidFill>
              <w14:schemeClr w14:val="tx1"/>
            </w14:solidFill>
          </w14:textFill>
        </w:rPr>
        <w:t>响应要求</w:t>
      </w:r>
      <w:bookmarkEnd w:id="77"/>
      <w:bookmarkEnd w:id="78"/>
    </w:p>
    <w:p w14:paraId="4EA8303A">
      <w:pPr>
        <w:pStyle w:val="40"/>
        <w:numPr>
          <w:ilvl w:val="0"/>
          <w:numId w:val="9"/>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响应登记</w:t>
      </w:r>
    </w:p>
    <w:p w14:paraId="77A0DC9F">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供应商应从</w:t>
      </w:r>
      <w:r>
        <w:rPr>
          <w:rFonts w:hint="eastAsia"/>
          <w:color w:val="000000" w:themeColor="text1"/>
          <w:spacing w:val="2"/>
          <w14:textFill>
            <w14:solidFill>
              <w14:schemeClr w14:val="tx1"/>
            </w14:solidFill>
          </w14:textFill>
        </w:rPr>
        <w:t>江门海关后勤管理中心政府采购部门</w:t>
      </w:r>
      <w:r>
        <w:rPr>
          <w:rFonts w:hint="eastAsia"/>
          <w:color w:val="000000" w:themeColor="text1"/>
          <w14:textFill>
            <w14:solidFill>
              <w14:schemeClr w14:val="tx1"/>
            </w14:solidFill>
          </w14:textFill>
        </w:rPr>
        <w:t>获取磋商文件（未按上述方式获取磋商文件的供应商，其响应资格将被视为无效）。</w:t>
      </w:r>
    </w:p>
    <w:p w14:paraId="693D3FAB">
      <w:pPr>
        <w:pStyle w:val="40"/>
        <w:numPr>
          <w:ilvl w:val="0"/>
          <w:numId w:val="9"/>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响应文件的制作</w:t>
      </w:r>
    </w:p>
    <w:p w14:paraId="7F2E1D70">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2.1响应文件格式要求详见第六章说明。</w:t>
      </w:r>
    </w:p>
    <w:p w14:paraId="0543C59B">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2.2关于磋商报价说明如下：</w:t>
      </w:r>
    </w:p>
    <w:p w14:paraId="2CD46F91">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供应商应按照“第二章采购需求”的需求内容、责任范围以及合同条款进行报价。并按“首轮报价表”和“分项报价表（如有）”规定的格式报出总价和分项价格（如有）。磋商总价中不得包含磋商文件要求以外的内容，否则，在评审时不予核减。</w:t>
      </w:r>
    </w:p>
    <w:p w14:paraId="5E14B47A">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（2）供应商的报价应包括为完成本项目所发生的一切费用和税费，江门海关将不再支付报价以外的任何费用。供应商的报价应包括但不限于下列内容，《须知前附表》中有特殊规定的，从其规定。</w:t>
      </w:r>
    </w:p>
    <w:p w14:paraId="2427A441">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①投标（响应）货物及标准附件、备品备件、专用工具等的出厂价（包括已在中国国内的进口货物完税后的仓库交货价、展室交货价或货架交货价）和运至最终目的地的运输费和保险费，安装调试、检验、技术服务、培训、质量保证、售后服务、税费等按照磋商文件要求完成本项目的全部相关服务费用；</w:t>
      </w:r>
    </w:p>
    <w:p w14:paraId="2A7A158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②按照磋商文件要求完成本项目的全部相关服务费用。</w:t>
      </w:r>
    </w:p>
    <w:p w14:paraId="5D4AA80F">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（3）供应商不能提供任何有选择性或可调整</w:t>
      </w:r>
      <w:bookmarkStart w:id="79" w:name="_Hlk175727978"/>
      <w:r>
        <w:rPr>
          <w:rFonts w:hint="eastAsia"/>
          <w:color w:val="000000" w:themeColor="text1"/>
          <w14:textFill>
            <w14:solidFill>
              <w14:schemeClr w14:val="tx1"/>
            </w14:solidFill>
          </w14:textFill>
        </w:rPr>
        <w:t>或附有条件</w:t>
      </w:r>
      <w:bookmarkEnd w:id="79"/>
      <w:r>
        <w:rPr>
          <w:rFonts w:hint="eastAsia"/>
          <w:color w:val="000000" w:themeColor="text1"/>
          <w14:textFill>
            <w14:solidFill>
              <w14:schemeClr w14:val="tx1"/>
            </w14:solidFill>
          </w14:textFill>
        </w:rPr>
        <w:t>的报价，否则将导致响应无效。</w:t>
      </w:r>
    </w:p>
    <w:p w14:paraId="769EB150">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2.3如有对多个采购包组响应的，要对每个采购包组独立制作响应文件，或者分别制作通用册和专用册的响应文件，且需在响应文件中明示对应采购包组情况。</w:t>
      </w:r>
    </w:p>
    <w:p w14:paraId="22F50C23">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2.4供应商不得将同一个项目或同一个采购包组的内容拆开响应，否则其报价将被视为非实质性响应，并作无效响应处理。</w:t>
      </w:r>
    </w:p>
    <w:p w14:paraId="19B5D599">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2.5供应商须对磋商文件的对应要求给予唯一的实质性响应，否则将视为不响应。</w:t>
      </w:r>
    </w:p>
    <w:p w14:paraId="5A6909B0">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2.6供应商必须按磋商文件指定的格式填写各种报价，各报价应计算正确。除在磋商文件另有规定外（如：报折扣、报优惠率等），计量单位应使用中华人民共和国法定计量单位，以人民币填报所有报价。</w:t>
      </w:r>
    </w:p>
    <w:p w14:paraId="5C5198C4">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2.7响应文件以及供应商与采购人、代理机构就有关响应的往来函电均应使用中文。供应商提交的支持性文件和印制的文件可以用另一种语言，但相应内容应翻译成中文，在解释响应文件时以中文文本为准。</w:t>
      </w:r>
    </w:p>
    <w:p w14:paraId="6CCD1CB3">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2.8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p>
    <w:p w14:paraId="7785B914">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2.9供应商应按本磋商文件规定的格式和顺序编制、装订响应文件并标注页码，响应文件内容不完整、编排混乱导致响应文件被误读、漏读或者查找不到相关内容的，由此引发的后果由供应商承担。</w:t>
      </w:r>
    </w:p>
    <w:p w14:paraId="75BB7EE4">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2.10响应文件的正本应用不褪色的材料书写或者打印，响应文件正本须按照磋商文件明确的规定提供原件或复印件，副本可为正本签字、盖章后的复印件，当副本和正本不一致时，以正本为准。</w:t>
      </w:r>
    </w:p>
    <w:p w14:paraId="7671C2E7">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2.11响应文件须由供应商在规定位置盖公章并签字（具体以第六章响应文件格式与要求规定的为准） ，否则按无效响应处理。骑缝位置盖公章不视为在规定位置盖章。</w:t>
      </w:r>
    </w:p>
    <w:p w14:paraId="6A0DAAC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2.12响应文件中标注的供应商名称应与主体资格证明（如营业执照、事业单位法人证书、执业许可证、自然人身份证等）及公章一致，否则按无效响应处理。</w:t>
      </w:r>
    </w:p>
    <w:p w14:paraId="64D60D69">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2.13响应文件应尽量避免涂改、行间插字或者删除。如果出现上述情况，改动之处应由供应商的法定代表人或者其委托代理人签字或者加盖公章。响应文件因字迹潦草或者表达不清所引起的后果由供应商承担。</w:t>
      </w:r>
    </w:p>
    <w:p w14:paraId="54888DE6">
      <w:pPr>
        <w:pStyle w:val="40"/>
        <w:numPr>
          <w:ilvl w:val="0"/>
          <w:numId w:val="9"/>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响应文件的提交</w:t>
      </w:r>
    </w:p>
    <w:p w14:paraId="13268136">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3.1在响应文件提交截止时间前，供应商须将响应文件提交至采购公告所示的提交响应文件地址。时间以北京时间为准，递交响应文件截止时间结束后，将不再接收响应文件。</w:t>
      </w:r>
    </w:p>
    <w:p w14:paraId="3F7A4234">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3.2供应商须按照“须知前附表”规定的密封要求对响应文件进行密封包装，以保证自己的响应信息在开启前不被透露，否则代理机构应当拒收。 </w:t>
      </w:r>
    </w:p>
    <w:p w14:paraId="64303AC1">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3.3采购代理机构对因不可抗力事件造成的响应文件的损坏、丢失的，不承担责任。</w:t>
      </w:r>
    </w:p>
    <w:p w14:paraId="449421AA">
      <w:pPr>
        <w:pStyle w:val="40"/>
        <w:numPr>
          <w:ilvl w:val="0"/>
          <w:numId w:val="9"/>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响应文件的修改、撤回与撤销</w:t>
      </w:r>
    </w:p>
    <w:p w14:paraId="14A61BA2">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4.1在提交响应文件截止时间前，供应商可以修改或撤回响应文件，并于提交响应文件截止时间前将修改后的响应文件送达至采购公告所示的提交响应文件地址，到达响应文件提交截止时间后，将不允许修改或撤回。</w:t>
      </w:r>
    </w:p>
    <w:p w14:paraId="33EDED9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4.2在提交响应文件截止时间后，供应商不得补充、修改和更换响应文件。</w:t>
      </w:r>
    </w:p>
    <w:p w14:paraId="13FBBEDA">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4.3投标（响应）截止时间后，供应商在响应有效期内撤销投标（响应）的，其撤销投标（响应）的行为无效。</w:t>
      </w:r>
    </w:p>
    <w:p w14:paraId="52E04335">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4.4除供应商不足3家未开启外，采购人和采购代理机构对所接收响应文件概不退回。</w:t>
      </w:r>
    </w:p>
    <w:p w14:paraId="72030E76">
      <w:pPr>
        <w:pStyle w:val="40"/>
        <w:numPr>
          <w:ilvl w:val="0"/>
          <w:numId w:val="9"/>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响应保证金（本项目不涉及）</w:t>
      </w:r>
    </w:p>
    <w:p w14:paraId="02A2F455">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5.1响应保证金的缴纳</w:t>
      </w:r>
    </w:p>
    <w:p w14:paraId="2722A6B6">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供应商在提交响应文件的同时，应按供应商须知前附表规定的金额和缴纳要求缴纳响应保证金，并作为其响应文件的组成部分。</w:t>
      </w:r>
    </w:p>
    <w:p w14:paraId="750AAF46">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联合体投标（响应）的，可以由联合体中的一方或者共同提交响应保证金，以一方名义提交响应保证金的，对联合体各方均具有约束力。</w:t>
      </w:r>
    </w:p>
    <w:p w14:paraId="230702E5">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如采用转账、支票、本票、汇票形式提交的，响应保证金从供应商账户递交，由公诚管理咨询有限公司代收。具体操作要求详见公诚管理咨询有限公司有关指引，递交事宜请自行咨询公诚管理咨询有限公司；请各供应商在响应文件递交截止时间前按须知前附表规定的金额递交至公诚管理咨询有限公司，到账情况以开启时公诚管理咨询有限公司查询的信息为准。</w:t>
      </w:r>
    </w:p>
    <w:p w14:paraId="15854022">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如采用金融机构、专业担保机构开具的投标（响应）担保函、投标（响应）保证保险函等形式提交响应保证金的，投标（响应）担保函或投标（响应）保证保险函须开具给采购人（保险受益人须为采购人），并与响应文件一同递交。</w:t>
      </w:r>
    </w:p>
    <w:p w14:paraId="6A0065EF">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供应商可登录"诚E招电子采购交易平台"（https://www.chengezhao.com/），申请办理电子保函，电子保函与纸质保函具有同样效力。</w:t>
      </w:r>
    </w:p>
    <w:p w14:paraId="27DFFC40">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注意事项：供应商通过线下方式缴纳保证金（转账、支票、汇票、本票、纸质保函）的，需准备缴纳凭证的扫描件作为核验凭证；通过电子保函形式缴纳保证金的，如遇开启或评审现场无法获取电子保函信息时，可提供电子保函打印件或购买凭证作为核验凭证。相关凭证应上传至诚E招电子采购交易平台归档保存。</w:t>
      </w:r>
    </w:p>
    <w:p w14:paraId="75D45551">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5.2响应保证金的退还：</w:t>
      </w:r>
    </w:p>
    <w:p w14:paraId="3C06B813">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（1）供应商在投标（响应）截止时间前撤回已提交的响应文件的，自收到供应商书面撤回通知之日起5个工作日内退还已收取的响应保证金。</w:t>
      </w:r>
    </w:p>
    <w:p w14:paraId="0E11A547">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（2）未成交的供应商保证金，在成交通知书发出后5个工作日内原额退还。</w:t>
      </w:r>
    </w:p>
    <w:p w14:paraId="24E4E9D1">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（3）成交供应商的响应保证金,在成交供应商与江门海关签订采购合同后5个工作日内原额退还。</w:t>
      </w:r>
    </w:p>
    <w:p w14:paraId="196F01BB">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（4）终止采购项目已经收取响应保证金的，自终止采购活动后5个工作日内退还已收取的响应保证金及其在银行产生的孳息。</w:t>
      </w:r>
    </w:p>
    <w:p w14:paraId="1ECD4CCB">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（5）在满足退保条件的情况下，供应商应及时联系保证金收受单位办理退还响应保证金手续。</w:t>
      </w:r>
    </w:p>
    <w:p w14:paraId="352B8760">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备注：因供应商自身原因导致无法及时退还的，采购人或采购代理机构将不承担相应责任。</w:t>
      </w:r>
    </w:p>
    <w:p w14:paraId="577EAB2E">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5.3有下列情形之一的，响应保证金将不予退还</w:t>
      </w:r>
      <w:bookmarkStart w:id="80" w:name="_Hlk104121839"/>
      <w:r>
        <w:rPr>
          <w:rFonts w:hint="eastAsia"/>
          <w:color w:val="000000" w:themeColor="text1"/>
          <w14:textFill>
            <w14:solidFill>
              <w14:schemeClr w14:val="tx1"/>
            </w14:solidFill>
          </w14:textFill>
        </w:rPr>
        <w:t>并上缴国库</w:t>
      </w:r>
      <w:bookmarkEnd w:id="80"/>
      <w:r>
        <w:rPr>
          <w:rFonts w:hint="eastAsia"/>
          <w:color w:val="000000" w:themeColor="text1"/>
          <w14:textFill>
            <w14:solidFill>
              <w14:schemeClr w14:val="tx1"/>
            </w14:solidFill>
          </w14:textFill>
        </w:rPr>
        <w:t>：</w:t>
      </w:r>
    </w:p>
    <w:p w14:paraId="1195910E">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（1）提供虚假材料谋取成交的；</w:t>
      </w:r>
    </w:p>
    <w:p w14:paraId="67A689CC">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（2）供应商在磋商文件规定的响应有效期内撤销其响应；</w:t>
      </w:r>
    </w:p>
    <w:p w14:paraId="2FC9913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（3）成交后，无正当理由放弃成交资格；</w:t>
      </w:r>
    </w:p>
    <w:p w14:paraId="6E61669A">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（4）成交后，无正当理由不与江门海关签订合同；</w:t>
      </w:r>
    </w:p>
    <w:p w14:paraId="732D644E">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（5）在签订合同时，向江门海关提出附加条件的；</w:t>
      </w:r>
    </w:p>
    <w:p w14:paraId="01F994C6">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）法律法规和磋商文件规定的其他情形。</w:t>
      </w:r>
    </w:p>
    <w:p w14:paraId="6ED8AE71">
      <w:pPr>
        <w:pStyle w:val="40"/>
        <w:numPr>
          <w:ilvl w:val="0"/>
          <w:numId w:val="9"/>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响应有效期</w:t>
      </w:r>
    </w:p>
    <w:p w14:paraId="40ECF81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6.1响应有效期内供应商撤销响应文件的，采购人或者采购代理机构可以不退还响应保证金（如有）。采用响应保函方式替代保证金的，采购人或者采购代理机构可以向担保机构索赔保证金。</w:t>
      </w:r>
    </w:p>
    <w:p w14:paraId="78A8C2E8">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83FD55F">
      <w:pPr>
        <w:pStyle w:val="40"/>
        <w:numPr>
          <w:ilvl w:val="0"/>
          <w:numId w:val="9"/>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样品（演示）（本项目不涉及）</w:t>
      </w:r>
    </w:p>
    <w:p w14:paraId="46B10BD1">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7.1磋商文件规定供应商提交样品的，样品属于响应文件的组成部分。样品的生产、运输、安装、保全等一切费用由供应商自理。</w:t>
      </w:r>
    </w:p>
    <w:p w14:paraId="5019E9D7">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7.2递交响应文件截止时间前，供应商应将样品送达至指定地点，按要求摆放并做好展示。若需要现场演示的，供应商应提前做好演示准备（包括演示设备）。</w:t>
      </w:r>
    </w:p>
    <w:p w14:paraId="2A3D30C6">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7.3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0A788CD">
      <w:pPr>
        <w:pStyle w:val="40"/>
        <w:numPr>
          <w:ilvl w:val="0"/>
          <w:numId w:val="9"/>
        </w:numPr>
        <w:spacing w:before="156" w:beforeLines="50" w:after="156" w:afterLines="50" w:line="360" w:lineRule="auto"/>
        <w:outlineLvl w:val="2"/>
        <w:rPr>
          <w:rFonts w:hint="eastAsia" w:ascii="宋体"/>
          <w:b/>
          <w:bCs/>
          <w:color w:val="000000" w:themeColor="text1"/>
          <w14:textFill>
            <w14:solidFill>
              <w14:schemeClr w14:val="tx1"/>
            </w14:solidFill>
          </w14:textFill>
        </w:rPr>
      </w:pPr>
      <w:bookmarkStart w:id="81" w:name="_Hlk172149274"/>
      <w:bookmarkEnd w:id="81"/>
      <w:r>
        <w:rPr>
          <w:rFonts w:hint="eastAsia" w:ascii="宋体"/>
          <w:b/>
          <w:bCs/>
          <w:color w:val="000000" w:themeColor="text1"/>
          <w14:textFill>
            <w14:solidFill>
              <w14:schemeClr w14:val="tx1"/>
            </w14:solidFill>
          </w14:textFill>
        </w:rPr>
        <w:t>商品包装和快递包装（如有）</w:t>
      </w:r>
    </w:p>
    <w:p w14:paraId="0ED82FE3">
      <w:pPr>
        <w:pStyle w:val="37"/>
        <w:autoSpaceDN/>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中如涉及商品包装和快递包装的，其包装需求标准应不低于《关于印发〈商品包装政府采购需求标准（试行）〉、〈快递包装政府采购需求标准（试行）〉的通知》（财办库〔2020〕123号）规定的包装要求，其他包装需求详见磋商文件具体规定。</w:t>
      </w:r>
    </w:p>
    <w:p w14:paraId="707E8A2F">
      <w:pPr>
        <w:pStyle w:val="40"/>
        <w:numPr>
          <w:ilvl w:val="0"/>
          <w:numId w:val="9"/>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除磋商文件另有规定外，有下列情形之一的，响应无效：</w:t>
      </w:r>
    </w:p>
    <w:p w14:paraId="21135ECA">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9.1未按磋商文件的规定提交响应保证金的；</w:t>
      </w:r>
    </w:p>
    <w:p w14:paraId="49AC3F9C">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9.2响应文件未按照磋商文件要求签署、盖章；</w:t>
      </w:r>
    </w:p>
    <w:p w14:paraId="33E5F070">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9.3不符合磋商文件中规定的资格要求；</w:t>
      </w:r>
    </w:p>
    <w:p w14:paraId="2B9C8440">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9.4响应报价超过磋商文件中规定的预算金额或最高限价；</w:t>
      </w:r>
    </w:p>
    <w:p w14:paraId="381EC98C">
      <w:pPr>
        <w:pStyle w:val="11"/>
        <w:spacing w:line="360" w:lineRule="auto"/>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9.5磋商小组认为供应商的报价明显低于其他通过符合性审查供应商的报价，有可能影响履约的，且供应商未按照规定证明其报价合理性的；</w:t>
      </w:r>
    </w:p>
    <w:p w14:paraId="0EEF2873">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9.6响应文件含有采购人不能接受的附加条件；</w:t>
      </w:r>
    </w:p>
    <w:p w14:paraId="05BF2C8A">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9.7有关法律、法规和规章及磋商文件规定的其他无效情形。</w:t>
      </w:r>
    </w:p>
    <w:p w14:paraId="1CCC70CC">
      <w:pPr>
        <w:pStyle w:val="3"/>
        <w:keepLines w:val="0"/>
        <w:numPr>
          <w:ilvl w:val="0"/>
          <w:numId w:val="6"/>
        </w:numPr>
        <w:spacing w:before="120" w:after="120" w:line="360" w:lineRule="auto"/>
        <w:ind w:left="0" w:firstLine="0"/>
        <w:jc w:val="left"/>
        <w:rPr>
          <w:rFonts w:hint="eastAsia" w:ascii="宋体" w:eastAsia="宋体"/>
          <w:color w:val="000000" w:themeColor="text1"/>
          <w:sz w:val="21"/>
          <w:szCs w:val="21"/>
          <w14:textFill>
            <w14:solidFill>
              <w14:schemeClr w14:val="tx1"/>
            </w14:solidFill>
          </w14:textFill>
        </w:rPr>
      </w:pPr>
      <w:bookmarkStart w:id="82" w:name="_Toc3707"/>
      <w:bookmarkEnd w:id="82"/>
      <w:bookmarkStart w:id="83" w:name="_Toc104040693"/>
      <w:bookmarkStart w:id="84" w:name="_Toc30896"/>
      <w:r>
        <w:rPr>
          <w:rFonts w:hint="eastAsia" w:ascii="宋体" w:eastAsia="宋体"/>
          <w:color w:val="000000" w:themeColor="text1"/>
          <w:sz w:val="21"/>
          <w:szCs w:val="21"/>
          <w14:textFill>
            <w14:solidFill>
              <w14:schemeClr w14:val="tx1"/>
            </w14:solidFill>
          </w14:textFill>
        </w:rPr>
        <w:t>磋商、评审和结果</w:t>
      </w:r>
      <w:bookmarkEnd w:id="83"/>
      <w:r>
        <w:rPr>
          <w:rFonts w:hint="eastAsia" w:ascii="宋体" w:eastAsia="宋体"/>
          <w:color w:val="000000" w:themeColor="text1"/>
          <w:sz w:val="21"/>
          <w:szCs w:val="21"/>
          <w14:textFill>
            <w14:solidFill>
              <w14:schemeClr w14:val="tx1"/>
            </w14:solidFill>
          </w14:textFill>
        </w:rPr>
        <w:t>确认</w:t>
      </w:r>
      <w:bookmarkEnd w:id="84"/>
    </w:p>
    <w:p w14:paraId="4D62D1A2">
      <w:pPr>
        <w:pStyle w:val="40"/>
        <w:numPr>
          <w:ilvl w:val="0"/>
          <w:numId w:val="10"/>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响应文件的开启</w:t>
      </w:r>
    </w:p>
    <w:p w14:paraId="7DFB4BC8">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1.1开启程序</w:t>
      </w:r>
    </w:p>
    <w:p w14:paraId="5C62D612">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工作人员按磋商公告规定的时间进行开启，由采购人或者采购代理机构工作人员宣布供应商名称和磋商文件规定的需要宣布的其他内容。</w:t>
      </w:r>
    </w:p>
    <w:p w14:paraId="38C4F5EF">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采用现场开启的：供应商的法定代表人或其委托代理人应当携带本人身份证等材料按照本采购公告载明的时间和地点前往参加现场开启会议。</w:t>
      </w:r>
    </w:p>
    <w:p w14:paraId="6DA0CD98">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1.2异议</w:t>
      </w:r>
    </w:p>
    <w:p w14:paraId="09563D9A">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供应商代表对开启过程和开启记录有疑义，以及认为采购人、采购代理机构相关工作人员有需要回避的情形的，应当场提出询问或者回避申请。供应商未参加开启的，视同认可开启结果。</w:t>
      </w:r>
    </w:p>
    <w:p w14:paraId="6FAD7B58">
      <w:pPr>
        <w:pStyle w:val="40"/>
        <w:numPr>
          <w:ilvl w:val="0"/>
          <w:numId w:val="10"/>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评审（详见第四章）</w:t>
      </w:r>
    </w:p>
    <w:p w14:paraId="203223A6">
      <w:pPr>
        <w:pStyle w:val="40"/>
        <w:numPr>
          <w:ilvl w:val="0"/>
          <w:numId w:val="10"/>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成交</w:t>
      </w:r>
    </w:p>
    <w:p w14:paraId="3AF0757E">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3.1成交结果公告：</w:t>
      </w:r>
    </w:p>
    <w:p w14:paraId="73592744">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成交供应商确定之日起2个工作日内，采购人或采购代理机构将在相关公告发布媒介（与采购公告发布媒介一致）上以公告的形式发布成交结果，结果公告的公告期限为1个工作日。结果公告同时作为采购代理机构通知除成交供应商外的其他供应商没有成交的书面形式，采购代理机构不再以其它方式另行通知。</w:t>
      </w:r>
    </w:p>
    <w:p w14:paraId="3699CB2B">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3.2成交通知书：</w:t>
      </w:r>
    </w:p>
    <w:p w14:paraId="023D4238">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采购人或采购代理机构在发布结果公告时，将给成交供应商发送《成交通知书》，《成交通知书》将作为授予合同资格的唯一合法依据。成交通知书发出后，采购人不得违法改变成交结果，成交供应商不得放弃成交。成交供应商放弃成交的，应当依法承担相应的法律责任。</w:t>
      </w:r>
    </w:p>
    <w:p w14:paraId="35EB2047">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3.3终止公告：</w:t>
      </w:r>
    </w:p>
    <w:p w14:paraId="7E6C026F">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终止磋商采购活动后，采购人或采购代理机构将在相关公告发布媒介（与采购公告发布媒介一致）上发布终止公告，终止公告的公告期限为1个工作日。</w:t>
      </w:r>
    </w:p>
    <w:p w14:paraId="00A2025C">
      <w:pPr>
        <w:pStyle w:val="3"/>
        <w:keepLines w:val="0"/>
        <w:numPr>
          <w:ilvl w:val="0"/>
          <w:numId w:val="6"/>
        </w:numPr>
        <w:spacing w:before="120" w:after="120" w:line="360" w:lineRule="auto"/>
        <w:ind w:left="0" w:firstLine="0"/>
        <w:jc w:val="left"/>
        <w:rPr>
          <w:rFonts w:hint="eastAsia" w:ascii="宋体" w:eastAsia="宋体"/>
          <w:color w:val="000000" w:themeColor="text1"/>
          <w:sz w:val="21"/>
          <w:szCs w:val="21"/>
          <w14:textFill>
            <w14:solidFill>
              <w14:schemeClr w14:val="tx1"/>
            </w14:solidFill>
          </w14:textFill>
        </w:rPr>
      </w:pPr>
      <w:bookmarkStart w:id="85" w:name="_Toc9018"/>
      <w:bookmarkEnd w:id="85"/>
      <w:bookmarkStart w:id="86" w:name="_Toc27788"/>
      <w:bookmarkStart w:id="87" w:name="_Toc104040694"/>
      <w:r>
        <w:rPr>
          <w:rFonts w:hint="eastAsia" w:ascii="宋体" w:eastAsia="宋体"/>
          <w:color w:val="000000" w:themeColor="text1"/>
          <w:sz w:val="21"/>
          <w:szCs w:val="21"/>
          <w14:textFill>
            <w14:solidFill>
              <w14:schemeClr w14:val="tx1"/>
            </w14:solidFill>
          </w14:textFill>
        </w:rPr>
        <w:t>询问、质疑与投诉</w:t>
      </w:r>
      <w:bookmarkEnd w:id="86"/>
      <w:bookmarkEnd w:id="87"/>
    </w:p>
    <w:p w14:paraId="0FB6DB2F">
      <w:pPr>
        <w:pStyle w:val="40"/>
        <w:numPr>
          <w:ilvl w:val="0"/>
          <w:numId w:val="11"/>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询问</w:t>
      </w:r>
    </w:p>
    <w:p w14:paraId="7C9C7466">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磋商邀请》中“采购人、采购代理机构的名称、地址和联系方式”。</w:t>
      </w:r>
    </w:p>
    <w:p w14:paraId="1D7CFE0D">
      <w:pPr>
        <w:pStyle w:val="40"/>
        <w:numPr>
          <w:ilvl w:val="0"/>
          <w:numId w:val="11"/>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质疑</w:t>
      </w:r>
    </w:p>
    <w:p w14:paraId="2FC4CC4E">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法定质疑期内针对同一采购程序环节再次提出的质疑，采购人、采购代理机构有权不予答复。</w:t>
      </w:r>
    </w:p>
    <w:p w14:paraId="4C4CDBCC">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供应商应知其权益受到损害之日是指：</w:t>
      </w:r>
    </w:p>
    <w:p w14:paraId="3820274C">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（1）对磋商文件提出质疑的，为获取磋商文件之日或者磋商文件公告期限届满之日；</w:t>
      </w:r>
    </w:p>
    <w:p w14:paraId="187D6005">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（2）对采购过程提出质疑的，为各采购程序环节结束之日；</w:t>
      </w:r>
    </w:p>
    <w:p w14:paraId="0A850A46">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（3）对成交结果提出质疑的，为成交结果公告期限届满之日。</w:t>
      </w:r>
    </w:p>
    <w:p w14:paraId="2858052B">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2.2质疑函应当包括下列主要内容：</w:t>
      </w:r>
    </w:p>
    <w:p w14:paraId="737C9D71">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（1）质疑供应商和相关供应商的名称、地址、邮编、联系人及联系电话等；</w:t>
      </w:r>
    </w:p>
    <w:p w14:paraId="708F30A4">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（2）质疑项目名称及编号、具体明确的质疑事项和与质疑事项相关的请求；</w:t>
      </w:r>
    </w:p>
    <w:p w14:paraId="4CD3C7F8">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（3）认为磋商文件、采购过程和成交结果使自己的合法权益受到损害的法律依据、事实依据、相关证明材料及证据来源；</w:t>
      </w:r>
    </w:p>
    <w:p w14:paraId="03BA0DD1">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（4）提出质疑的日期。</w:t>
      </w:r>
    </w:p>
    <w:p w14:paraId="4E33FC33">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2.3质疑函应当署名。质疑供应商为自然人的，应当由本人签字；质疑供应商为法人或者其他组织的，应当由法定代表人、主要负责人，或者其授权代表签字或者盖章，并加盖公章。</w:t>
      </w:r>
    </w:p>
    <w:p w14:paraId="072C3743">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2.4以联合体形式参加采购活动的，其质疑应当由联合体成员委托主体提出。</w:t>
      </w:r>
    </w:p>
    <w:p w14:paraId="08676814">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14:paraId="10C045B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2.6质疑联系方式如下： </w:t>
      </w:r>
    </w:p>
    <w:p w14:paraId="026201A4">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质疑联系人：熊嘉欣</w:t>
      </w:r>
    </w:p>
    <w:p w14:paraId="35755705">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电话：0750-3881516</w:t>
      </w:r>
    </w:p>
    <w:p w14:paraId="4DE2DDDE">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地址：江门市蓬江区篁庄大道10号火炬高新技术创业园3号楼808室</w:t>
      </w:r>
    </w:p>
    <w:p w14:paraId="6C7AC8C6">
      <w:pPr>
        <w:pStyle w:val="37"/>
        <w:autoSpaceDN/>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邮编：529000</w:t>
      </w:r>
    </w:p>
    <w:p w14:paraId="2011859E">
      <w:pPr>
        <w:pStyle w:val="37"/>
        <w:autoSpaceDN/>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2.7 质疑提交方式</w:t>
      </w:r>
    </w:p>
    <w:p w14:paraId="37AB6414">
      <w:pPr>
        <w:pStyle w:val="37"/>
        <w:autoSpaceDN/>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在法定质疑期内现场提交、邮寄、快递（不接收到付件）。邮寄、快递收件地址和收件人信息详见以上质疑联系方式。</w:t>
      </w:r>
    </w:p>
    <w:p w14:paraId="4A72C6EE">
      <w:pPr>
        <w:pStyle w:val="37"/>
        <w:autoSpaceDN/>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以邮寄、快递方式递交的，质疑提起日期应当以邮寄件上的戳记日期、邮政快递件上的戳记日期或非邮政快递件上的签注日期，受理日期为公诚管理咨询有限公司收到符合规定的质疑材料之日。若质疑材料不符合受理条件的，公诚管理咨询有限公司向供应商出具质疑补正通知书或无效质疑告知书。</w:t>
      </w:r>
    </w:p>
    <w:p w14:paraId="39DC950B">
      <w:pPr>
        <w:pStyle w:val="37"/>
        <w:autoSpaceDN/>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以邮寄、快递方式递交质疑函的，质疑人可以在质疑有效期内通过电话、邮件等方式及时将质疑事项告知公诚管理咨询有限公司，同时提供邮寄件、快递件的有效查询方式。递交质疑函后，质疑人可以通过电子邮件等方式将质疑函的文字内容发送至公诚管理咨询有限公司电子邮箱（xiongjiaxin.gcmc.gd@chinaccs.cn），并且在工作日时间（8:30-12:00和14:00-17:30）电话告知采购代理机构查收。</w:t>
      </w:r>
    </w:p>
    <w:p w14:paraId="0644B5F9">
      <w:pPr>
        <w:pStyle w:val="40"/>
        <w:numPr>
          <w:ilvl w:val="0"/>
          <w:numId w:val="11"/>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投诉</w:t>
      </w:r>
    </w:p>
    <w:p w14:paraId="5A7678C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质疑人对采购人或采购代理机构的质疑答复不满意或在规定时间内未得到答复的，可以在答复期满后15个工作日内，向本项目采购人提起投诉，联系方式见《磋商邀请》中“采购人的名称、地址和联系方式”。</w:t>
      </w:r>
    </w:p>
    <w:p w14:paraId="1FE6B72C">
      <w:pPr>
        <w:pStyle w:val="3"/>
        <w:keepLines w:val="0"/>
        <w:numPr>
          <w:ilvl w:val="0"/>
          <w:numId w:val="6"/>
        </w:numPr>
        <w:spacing w:before="120" w:after="120" w:line="360" w:lineRule="auto"/>
        <w:ind w:left="0" w:firstLine="0"/>
        <w:jc w:val="left"/>
        <w:rPr>
          <w:rFonts w:hint="eastAsia" w:ascii="宋体" w:eastAsia="宋体"/>
          <w:color w:val="000000" w:themeColor="text1"/>
          <w:sz w:val="21"/>
          <w:szCs w:val="21"/>
          <w14:textFill>
            <w14:solidFill>
              <w14:schemeClr w14:val="tx1"/>
            </w14:solidFill>
          </w14:textFill>
        </w:rPr>
      </w:pPr>
      <w:bookmarkStart w:id="88" w:name="_Toc104040695"/>
      <w:bookmarkEnd w:id="88"/>
      <w:bookmarkStart w:id="89" w:name="_Toc26238"/>
      <w:bookmarkStart w:id="90" w:name="_Toc21700"/>
      <w:r>
        <w:rPr>
          <w:rFonts w:hint="eastAsia" w:ascii="宋体" w:eastAsia="宋体"/>
          <w:color w:val="000000" w:themeColor="text1"/>
          <w:sz w:val="21"/>
          <w:szCs w:val="21"/>
          <w14:textFill>
            <w14:solidFill>
              <w14:schemeClr w14:val="tx1"/>
            </w14:solidFill>
          </w14:textFill>
        </w:rPr>
        <w:t>合同签订和履行</w:t>
      </w:r>
      <w:bookmarkEnd w:id="89"/>
      <w:bookmarkEnd w:id="90"/>
    </w:p>
    <w:p w14:paraId="3FE45B79">
      <w:pPr>
        <w:pStyle w:val="40"/>
        <w:numPr>
          <w:ilvl w:val="0"/>
          <w:numId w:val="12"/>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合同签订</w:t>
      </w:r>
    </w:p>
    <w:p w14:paraId="11484153">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1.1江门海关应当自《成交通知书》发出之日起三十日内，按照磋商文件和成交供应商响应文件的约定，与成交供应商签订合同。所签订的合同不得对磋商文件和成交供应商响应文件作实质性修改。</w:t>
      </w:r>
    </w:p>
    <w:p w14:paraId="254762CB">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1.2江门海关不得提出试用合格等任何不合理的要求作为签订合同的条件，且不得与成交供应商私下订立背离合同实质性内容的协议。</w:t>
      </w:r>
    </w:p>
    <w:p w14:paraId="76F74688">
      <w:pPr>
        <w:pStyle w:val="37"/>
        <w:autoSpaceDN/>
        <w:spacing w:line="360" w:lineRule="auto"/>
        <w:ind w:firstLine="420"/>
        <w:rPr>
          <w:color w:val="000000" w:themeColor="text1"/>
          <w:sz w:val="21"/>
          <w:szCs w:val="21"/>
          <w14:textFill>
            <w14:solidFill>
              <w14:schemeClr w14:val="tx1"/>
            </w14:solidFill>
          </w14:textFill>
        </w:rPr>
      </w:pPr>
      <w:bookmarkStart w:id="91" w:name="_Hlk175747511"/>
      <w:bookmarkEnd w:id="91"/>
      <w:r>
        <w:rPr>
          <w:rFonts w:hint="eastAsia"/>
          <w:color w:val="000000" w:themeColor="text1"/>
          <w:sz w:val="21"/>
          <w:szCs w:val="21"/>
          <w14:textFill>
            <w14:solidFill>
              <w14:schemeClr w14:val="tx1"/>
            </w14:solidFill>
          </w14:textFill>
        </w:rPr>
        <w:t>1.3合同条款中应规定，</w:t>
      </w:r>
      <w:bookmarkStart w:id="92" w:name="_Hlk175737978"/>
      <w:r>
        <w:rPr>
          <w:rFonts w:hint="eastAsia"/>
          <w:color w:val="000000" w:themeColor="text1"/>
          <w:sz w:val="21"/>
          <w:szCs w:val="21"/>
          <w14:textFill>
            <w14:solidFill>
              <w14:schemeClr w14:val="tx1"/>
            </w14:solidFill>
          </w14:textFill>
        </w:rPr>
        <w:t>乙方完全遵守《中华人民共和国劳动合同法》有关规定和《中华人民共和国妇女权益保障法》中关于“劳动和社会保障权益”的有关要求。</w:t>
      </w:r>
      <w:bookmarkEnd w:id="92"/>
    </w:p>
    <w:p w14:paraId="27427DA8">
      <w:pPr>
        <w:pStyle w:val="37"/>
        <w:autoSpaceDN/>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1.4成交人拒绝签订采购合同（包括但不限于放弃成交、因不可抗力不能履行合同而放弃签订合同），采购人可以按照评审报告推荐的成交候选人名单排序，确定下一候选人为成交供应商，也可以重新开展采购活动。</w:t>
      </w:r>
    </w:p>
    <w:p w14:paraId="07958E83">
      <w:pPr>
        <w:pStyle w:val="37"/>
        <w:autoSpaceDN/>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签订合同后，成交人不得将货物及其他相关服务进行转包。未经江门海关同意，成交人也不得采用分包的形式履行合同，否则江门海关有权终止合同。转包或分包造成江门海关损失的，成交人应承担相应赔偿责任。</w:t>
      </w:r>
    </w:p>
    <w:p w14:paraId="19A88A09">
      <w:pPr>
        <w:pStyle w:val="40"/>
        <w:numPr>
          <w:ilvl w:val="0"/>
          <w:numId w:val="12"/>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合同的履行</w:t>
      </w:r>
    </w:p>
    <w:p w14:paraId="5F30E32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2.1采购合同订立后，合同各方不得擅自变更、中止或者终止合同。采购合同需要变更的，江门海关应将有关合同变更内容，以书面形式记录备案；因特殊情况需要中止或终止合同的，江门海关应将中止或终止合同的理由以及相应措施，以书面形式记录备案。</w:t>
      </w:r>
    </w:p>
    <w:p w14:paraId="747F19F8">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2.2采购合同履行中，江门海关需追加与合同标的相同的货物、工程或者服务的，在不改变合同其他条款的前提下，可以与成交供应商签订补充合同，但所补充合同的采购金额不得超过原采购金额的10%。</w:t>
      </w:r>
    </w:p>
    <w:p w14:paraId="42E37D1D">
      <w:pPr>
        <w:pStyle w:val="2"/>
        <w:keepLines w:val="0"/>
        <w:spacing w:before="0" w:after="0" w:line="360" w:lineRule="auto"/>
        <w:rPr>
          <w:rFonts w:eastAsia="宋体"/>
          <w:color w:val="000000" w:themeColor="text1"/>
          <w:sz w:val="24"/>
          <w:szCs w:val="24"/>
          <w14:textFill>
            <w14:solidFill>
              <w14:schemeClr w14:val="tx1"/>
            </w14:solidFill>
          </w14:textFill>
        </w:rPr>
        <w:sectPr>
          <w:pgSz w:w="11906" w:h="16838"/>
          <w:pgMar w:top="1440" w:right="1080" w:bottom="1440" w:left="1080" w:header="426" w:footer="751" w:gutter="0"/>
          <w:cols w:space="720" w:num="1"/>
          <w:titlePg/>
          <w:docGrid w:type="lines" w:linePitch="312" w:charSpace="0"/>
        </w:sectPr>
      </w:pPr>
      <w:bookmarkStart w:id="93" w:name="_Toc104040696"/>
      <w:bookmarkEnd w:id="93"/>
      <w:bookmarkStart w:id="94" w:name="_Toc103216636"/>
      <w:bookmarkEnd w:id="94"/>
      <w:bookmarkStart w:id="95" w:name="_Hlk175748159"/>
      <w:bookmarkEnd w:id="95"/>
      <w:bookmarkStart w:id="96" w:name="_Toc3549"/>
    </w:p>
    <w:p w14:paraId="6BF5BF7A">
      <w:pPr>
        <w:pStyle w:val="2"/>
        <w:keepLines w:val="0"/>
        <w:spacing w:before="0" w:after="0" w:line="360" w:lineRule="auto"/>
        <w:rPr>
          <w:rFonts w:eastAsia="宋体"/>
          <w:color w:val="000000" w:themeColor="text1"/>
          <w:sz w:val="24"/>
          <w:szCs w:val="24"/>
          <w14:textFill>
            <w14:solidFill>
              <w14:schemeClr w14:val="tx1"/>
            </w14:solidFill>
          </w14:textFill>
        </w:rPr>
      </w:pPr>
      <w:bookmarkStart w:id="97" w:name="_Toc32292"/>
      <w:r>
        <w:rPr>
          <w:rFonts w:hint="eastAsia" w:eastAsia="宋体"/>
          <w:color w:val="000000" w:themeColor="text1"/>
          <w:sz w:val="24"/>
          <w:szCs w:val="24"/>
          <w14:textFill>
            <w14:solidFill>
              <w14:schemeClr w14:val="tx1"/>
            </w14:solidFill>
          </w14:textFill>
        </w:rPr>
        <w:t>第四章 评审</w:t>
      </w:r>
      <w:bookmarkEnd w:id="96"/>
      <w:bookmarkEnd w:id="97"/>
    </w:p>
    <w:p w14:paraId="70E5BF09">
      <w:pPr>
        <w:pStyle w:val="3"/>
        <w:keepLines w:val="0"/>
        <w:numPr>
          <w:ilvl w:val="0"/>
          <w:numId w:val="13"/>
        </w:numPr>
        <w:spacing w:before="120" w:after="120" w:line="360" w:lineRule="auto"/>
        <w:jc w:val="left"/>
        <w:rPr>
          <w:rFonts w:hint="eastAsia" w:ascii="宋体" w:eastAsia="宋体"/>
          <w:color w:val="000000" w:themeColor="text1"/>
          <w:sz w:val="21"/>
          <w:szCs w:val="21"/>
          <w14:textFill>
            <w14:solidFill>
              <w14:schemeClr w14:val="tx1"/>
            </w14:solidFill>
          </w14:textFill>
        </w:rPr>
      </w:pPr>
      <w:bookmarkStart w:id="98" w:name="_Toc9007"/>
      <w:bookmarkEnd w:id="98"/>
      <w:bookmarkStart w:id="99" w:name="_Toc104040697"/>
      <w:bookmarkStart w:id="100" w:name="_Toc5014"/>
      <w:r>
        <w:rPr>
          <w:rFonts w:hint="eastAsia" w:ascii="宋体" w:eastAsia="宋体"/>
          <w:color w:val="000000" w:themeColor="text1"/>
          <w:sz w:val="21"/>
          <w:szCs w:val="21"/>
          <w14:textFill>
            <w14:solidFill>
              <w14:schemeClr w14:val="tx1"/>
            </w14:solidFill>
          </w14:textFill>
        </w:rPr>
        <w:t>评审要求</w:t>
      </w:r>
      <w:bookmarkEnd w:id="99"/>
      <w:bookmarkEnd w:id="100"/>
    </w:p>
    <w:p w14:paraId="09D1A9FB">
      <w:pPr>
        <w:pStyle w:val="40"/>
        <w:numPr>
          <w:ilvl w:val="0"/>
          <w:numId w:val="14"/>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评审方法</w:t>
      </w:r>
    </w:p>
    <w:p w14:paraId="0F2E51E4">
      <w:pPr>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综合评分法,是指响应文件满足磋商文件全部实质性要求，且按照评审因素的量化指标评审得分最高的供应商为成交候选人的评标方法。（最低报价不是成交的唯一依据。）</w:t>
      </w:r>
    </w:p>
    <w:p w14:paraId="42F47BED">
      <w:pPr>
        <w:pStyle w:val="40"/>
        <w:numPr>
          <w:ilvl w:val="0"/>
          <w:numId w:val="14"/>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评审原则</w:t>
      </w:r>
    </w:p>
    <w:p w14:paraId="58572727">
      <w:pPr>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2.1评审活动遵循公平、公正、科学和择优的原则，以磋商文件和响应文件为评审的基本依据，并按照磋商文件规定的评审方法和评审标准进行评审。</w:t>
      </w:r>
    </w:p>
    <w:p w14:paraId="10DDBDBE">
      <w:pPr>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2.2具体评审事项由磋商小组负责，并按磋商文件的规定办法进行评审。对磋商文件中描述有歧义或前后不一致的地方，磋商小组有权按法律法规的规定进行评判，但对同一条款的评判应适用于每个响应供应商。</w:t>
      </w:r>
    </w:p>
    <w:p w14:paraId="1C06189C">
      <w:pPr>
        <w:pStyle w:val="40"/>
        <w:numPr>
          <w:ilvl w:val="0"/>
          <w:numId w:val="14"/>
        </w:numPr>
        <w:spacing w:before="156" w:beforeLines="50" w:after="156" w:afterLines="50"/>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磋商小组</w:t>
      </w:r>
    </w:p>
    <w:p w14:paraId="29156A85">
      <w:pPr>
        <w:pStyle w:val="40"/>
        <w:spacing w:line="360" w:lineRule="auto"/>
        <w:ind w:firstLineChars="200"/>
        <w:jc w:val="left"/>
        <w:rPr>
          <w:rFonts w:hint="eastAsia"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3.1磋商小组由采购人代表和评审专家组成，成员人数应当为5人及以上单数，其中技术、经济等方面的评审专家不得少于成员总数的三分之二。</w:t>
      </w:r>
    </w:p>
    <w:p w14:paraId="6DDDBD50">
      <w:pPr>
        <w:pStyle w:val="40"/>
        <w:spacing w:line="360" w:lineRule="auto"/>
        <w:ind w:firstLineChars="200"/>
        <w:jc w:val="left"/>
        <w:rPr>
          <w:rFonts w:hint="eastAsia"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3.2评审应遵守下列评审纪律：</w:t>
      </w:r>
    </w:p>
    <w:p w14:paraId="7E232062">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（1）评审情况不得私自外泄，有关信息由公诚管理咨询有限公司统一对外发布。</w:t>
      </w:r>
    </w:p>
    <w:p w14:paraId="18E6F994">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（2）对公诚管理咨询有限公司或供应商提供的要求保密的资料，不得摘记翻印和外传。</w:t>
      </w:r>
    </w:p>
    <w:p w14:paraId="6CD10CE0">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（3）不得收受响应供应商或有关人员的任何礼物，不得串联鼓动其他人袒护某供应商。若与供应商存在利害关系，则应主动声明并回避。</w:t>
      </w:r>
    </w:p>
    <w:p w14:paraId="09218D78">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（4）全体评委应按照磋商文件规定进行评审，一切认定事项应查有实据且不得弄虚作假。</w:t>
      </w:r>
    </w:p>
    <w:p w14:paraId="49413852">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（5）磋商小组各成员应当独立对每个响应供应商的响应文件进行评价，并对评价意见承担个人责任。评审过程中，不得发表倾向性言论。</w:t>
      </w:r>
    </w:p>
    <w:p w14:paraId="3544C1FF">
      <w:pPr>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对违反评审纪律的评委，将取消其评委资格，对评审工作造成严重损失者将予以通报批评乃至追究法律责任。</w:t>
      </w:r>
    </w:p>
    <w:p w14:paraId="1B8A0D4B">
      <w:pPr>
        <w:pStyle w:val="40"/>
        <w:numPr>
          <w:ilvl w:val="0"/>
          <w:numId w:val="14"/>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有下列情形之一的，属于恶意串通，对供应商参照政府采购法第七十七条第一款的规定追究法律责任：</w:t>
      </w:r>
    </w:p>
    <w:p w14:paraId="4113F98F">
      <w:pPr>
        <w:pStyle w:val="37"/>
        <w:autoSpaceDN/>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4.1供应商直接或者间接从采购人或者采购代理机构处获得其他供应商的相关情况并修改其响应文件；</w:t>
      </w:r>
    </w:p>
    <w:p w14:paraId="04FD40BE">
      <w:pPr>
        <w:pStyle w:val="37"/>
        <w:autoSpaceDN/>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4.2供应商按照采购人或者采购代理机构的授意撤换、修改响应文件；</w:t>
      </w:r>
    </w:p>
    <w:p w14:paraId="7C117189">
      <w:pPr>
        <w:pStyle w:val="37"/>
        <w:autoSpaceDN/>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4.3供应商之间协商报价、技术方案等响应文件的实质性内容；</w:t>
      </w:r>
    </w:p>
    <w:p w14:paraId="5B565F12">
      <w:pPr>
        <w:pStyle w:val="37"/>
        <w:autoSpaceDN/>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4.4属于同一集团、协会、商会等组织成员的供应商按照该组织要求协同参加采购活动；</w:t>
      </w:r>
    </w:p>
    <w:p w14:paraId="39C09FF8">
      <w:pPr>
        <w:pStyle w:val="37"/>
        <w:autoSpaceDN/>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4.5供应商之间事先约定由某一特定供应商成交；</w:t>
      </w:r>
    </w:p>
    <w:p w14:paraId="5672947B">
      <w:pPr>
        <w:pStyle w:val="37"/>
        <w:autoSpaceDN/>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4.6供应商之间商定部分供应商放弃参加采购活动或者放弃成交；</w:t>
      </w:r>
    </w:p>
    <w:p w14:paraId="2E30D0BE">
      <w:pPr>
        <w:pStyle w:val="37"/>
        <w:autoSpaceDN/>
        <w:spacing w:line="360" w:lineRule="auto"/>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4.7供应商与采购人或者采购代理机构之间、供应商相互之间，为谋求特定供应商成交或者排斥其他供应商的其他串通行为。</w:t>
      </w:r>
    </w:p>
    <w:p w14:paraId="78919699">
      <w:pPr>
        <w:pStyle w:val="40"/>
        <w:numPr>
          <w:ilvl w:val="0"/>
          <w:numId w:val="14"/>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采购包组有下列情形之一的，视为供应商串通响应，其响应无效</w:t>
      </w:r>
    </w:p>
    <w:p w14:paraId="098CC110">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5.1不同供应商的响应文件由同一单位或者个人编制；</w:t>
      </w:r>
    </w:p>
    <w:p w14:paraId="58104CDF">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5.2不同供应商委托同一单位或者个人办理响应事宜；</w:t>
      </w:r>
    </w:p>
    <w:p w14:paraId="0D1850AE">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5.3不同供应商的响应文件载明的项目管理成员或者联系人员为同一人；</w:t>
      </w:r>
    </w:p>
    <w:p w14:paraId="345F684E">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5.4不同供应商的响应文件异常一致或者响应报价呈规律性差异；</w:t>
      </w:r>
    </w:p>
    <w:p w14:paraId="68AD5C42">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5.5不同供应商的响应文件相互混装；</w:t>
      </w:r>
    </w:p>
    <w:p w14:paraId="1046ADDC">
      <w:pPr>
        <w:pStyle w:val="11"/>
        <w:spacing w:line="360" w:lineRule="auto"/>
        <w:ind w:left="420"/>
        <w:rPr>
          <w:color w:val="000000" w:themeColor="text1"/>
          <w14:textFill>
            <w14:solidFill>
              <w14:schemeClr w14:val="tx1"/>
            </w14:solidFill>
          </w14:textFill>
        </w:rPr>
      </w:pPr>
      <w:r>
        <w:rPr>
          <w:rFonts w:hint="eastAsia"/>
          <w:color w:val="000000" w:themeColor="text1"/>
          <w14:textFill>
            <w14:solidFill>
              <w14:schemeClr w14:val="tx1"/>
            </w14:solidFill>
          </w14:textFill>
        </w:rPr>
        <w:t>5.6不同供应商的响应保证金或购买电子保函支付款为从同一单位或个人的账户转出。</w:t>
      </w:r>
    </w:p>
    <w:p w14:paraId="105540A9">
      <w:pPr>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说明：在评审过程中发现供应商有上述情形的，磋商小组应当认定其响应无效。同时，项目评审时被认定为串通响应的供应商不得参加该合同项下的采购活动。</w:t>
      </w:r>
    </w:p>
    <w:p w14:paraId="27D77DEF">
      <w:pPr>
        <w:pStyle w:val="40"/>
        <w:numPr>
          <w:ilvl w:val="0"/>
          <w:numId w:val="14"/>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有下列情形之一的，属于恶意串通响应：</w:t>
      </w:r>
    </w:p>
    <w:p w14:paraId="2BD553D4">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6.1供应商直接或者间接从采购人或者采购代理机构处获得其他供应商的相关情况并修改其响应文件；</w:t>
      </w:r>
    </w:p>
    <w:p w14:paraId="15922607">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6.2供应商按照采购人或者采购代理机构的授意撤换、修改响应文件；</w:t>
      </w:r>
    </w:p>
    <w:p w14:paraId="37582D0B">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6.3供应商之间协商报价、技术方案等响应文件的实质性内容；</w:t>
      </w:r>
    </w:p>
    <w:p w14:paraId="6506FAC4">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6.4属于同一集团、协会、商会等组织成员的供应商按照该组织要求协同参加采购活动；</w:t>
      </w:r>
    </w:p>
    <w:p w14:paraId="7FAB2DF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6.5供应商之间事先约定由某一特定供应商成交；</w:t>
      </w:r>
    </w:p>
    <w:p w14:paraId="3932726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6.6供应商之间商定部分供应商放弃参加采购活动或者放弃成交；</w:t>
      </w:r>
    </w:p>
    <w:p w14:paraId="7A12530A">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6.7供应商与采购人或者采购代理机构之间、供应商相互之间，为谋求特定供应商成交或者排斥其他供应商的其他串通行为。</w:t>
      </w:r>
    </w:p>
    <w:p w14:paraId="7DF3D4FD">
      <w:pPr>
        <w:pStyle w:val="40"/>
        <w:numPr>
          <w:ilvl w:val="0"/>
          <w:numId w:val="14"/>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其他响应无效的情形</w:t>
      </w:r>
    </w:p>
    <w:p w14:paraId="09B6670D">
      <w:pPr>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详见资格性审查、符合性审查和磋商文件其他响应无效条款。</w:t>
      </w:r>
    </w:p>
    <w:p w14:paraId="0DCBC7CC">
      <w:pPr>
        <w:pStyle w:val="40"/>
        <w:numPr>
          <w:ilvl w:val="0"/>
          <w:numId w:val="14"/>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终止竞争性磋商采购活动的情形</w:t>
      </w:r>
    </w:p>
    <w:p w14:paraId="75555980">
      <w:pPr>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出现下列情形之一的，采购人或者采购代理机构应当终止竞争性磋商采购活动，发布项目终止公告并说明原因，重新开展采购活动：</w:t>
      </w:r>
    </w:p>
    <w:p w14:paraId="1024B93F">
      <w:pPr>
        <w:pStyle w:val="40"/>
        <w:spacing w:line="360" w:lineRule="auto"/>
        <w:ind w:firstLineChars="200"/>
        <w:jc w:val="left"/>
        <w:rPr>
          <w:rFonts w:hint="eastAsia"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（1）因情况变化，不再符合规定的竞争性磋商采购方式适用情形的；</w:t>
      </w:r>
    </w:p>
    <w:p w14:paraId="0437271D">
      <w:pPr>
        <w:pStyle w:val="40"/>
        <w:spacing w:line="360" w:lineRule="auto"/>
        <w:ind w:firstLineChars="200"/>
        <w:jc w:val="left"/>
        <w:rPr>
          <w:rFonts w:hint="eastAsia"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（2）出现影响采购公正的违法、违规行为的；</w:t>
      </w:r>
    </w:p>
    <w:p w14:paraId="2AB7E19A">
      <w:pPr>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（3）在采购过程中符合要求的供应商或者报价未超过采购预算的供应商不足3家的；</w:t>
      </w:r>
    </w:p>
    <w:p w14:paraId="0B8DEB59">
      <w:pPr>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（4）法律、法规以及磋商文件规定其他情形。</w:t>
      </w:r>
    </w:p>
    <w:p w14:paraId="233063E6">
      <w:pPr>
        <w:pStyle w:val="40"/>
        <w:numPr>
          <w:ilvl w:val="0"/>
          <w:numId w:val="14"/>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确定成交供应商</w:t>
      </w:r>
    </w:p>
    <w:p w14:paraId="465C88C8">
      <w:pPr>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磋商小组按照磋商文件确定的评审方法、步骤、标准，对响应文件进行评审。评审结束后，对供应商的评审名次进行排序，确定成交供应商或者推荐成交候选供应商。</w:t>
      </w:r>
    </w:p>
    <w:p w14:paraId="5F01C52C">
      <w:pPr>
        <w:pStyle w:val="40"/>
        <w:numPr>
          <w:ilvl w:val="0"/>
          <w:numId w:val="14"/>
        </w:numPr>
        <w:spacing w:before="156" w:beforeLines="50" w:after="156" w:afterLines="50" w:line="360" w:lineRule="auto"/>
        <w:outlineLvl w:val="2"/>
        <w:rPr>
          <w:rFonts w:hint="eastAsia" w:ascii="宋体"/>
          <w:b/>
          <w:bCs/>
          <w:color w:val="000000" w:themeColor="text1"/>
          <w14:textFill>
            <w14:solidFill>
              <w14:schemeClr w14:val="tx1"/>
            </w14:solidFill>
          </w14:textFill>
        </w:rPr>
      </w:pPr>
      <w:r>
        <w:rPr>
          <w:rFonts w:hint="eastAsia" w:ascii="宋体"/>
          <w:b/>
          <w:bCs/>
          <w:color w:val="000000" w:themeColor="text1"/>
          <w14:textFill>
            <w14:solidFill>
              <w14:schemeClr w14:val="tx1"/>
            </w14:solidFill>
          </w14:textFill>
        </w:rPr>
        <w:t>价格修正</w:t>
      </w:r>
    </w:p>
    <w:p w14:paraId="4E26AE6C">
      <w:pPr>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对报价的计算错误按以下原则修正：</w:t>
      </w:r>
    </w:p>
    <w:p w14:paraId="750E85BE">
      <w:pPr>
        <w:pStyle w:val="40"/>
        <w:spacing w:line="360" w:lineRule="auto"/>
        <w:ind w:firstLineChars="200"/>
        <w:jc w:val="left"/>
        <w:rPr>
          <w:rFonts w:hint="eastAsia"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（1）响应文件中首轮报价表（报价表）内容与响应文件中相应内容不一致的，以首轮报价表（报价表）为准；</w:t>
      </w:r>
    </w:p>
    <w:p w14:paraId="68A7469C">
      <w:pPr>
        <w:pStyle w:val="40"/>
        <w:spacing w:line="360" w:lineRule="auto"/>
        <w:ind w:firstLineChars="200"/>
        <w:jc w:val="left"/>
        <w:rPr>
          <w:rFonts w:hint="eastAsia"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（2）大写金额和小写金额不一致的，以大写金额为准；</w:t>
      </w:r>
    </w:p>
    <w:p w14:paraId="56C6610B">
      <w:pPr>
        <w:pStyle w:val="40"/>
        <w:spacing w:line="360" w:lineRule="auto"/>
        <w:ind w:firstLineChars="200"/>
        <w:jc w:val="left"/>
        <w:rPr>
          <w:rFonts w:hint="eastAsia"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（3）单价金额小数点或者百分比有明显错位的，以首轮报价表的总价为准，并修改单价；</w:t>
      </w:r>
    </w:p>
    <w:p w14:paraId="0F1B16A7">
      <w:pPr>
        <w:pStyle w:val="40"/>
        <w:spacing w:line="360" w:lineRule="auto"/>
        <w:ind w:firstLineChars="200"/>
        <w:jc w:val="left"/>
        <w:rPr>
          <w:rFonts w:hint="eastAsia" w:ascii="宋体"/>
          <w:bCs/>
          <w:color w:val="000000" w:themeColor="text1"/>
          <w14:textFill>
            <w14:solidFill>
              <w14:schemeClr w14:val="tx1"/>
            </w14:solidFill>
          </w14:textFill>
        </w:rPr>
      </w:pPr>
      <w:r>
        <w:rPr>
          <w:rFonts w:hint="eastAsia" w:ascii="宋体"/>
          <w:bCs/>
          <w:color w:val="000000" w:themeColor="text1"/>
          <w14:textFill>
            <w14:solidFill>
              <w14:schemeClr w14:val="tx1"/>
            </w14:solidFill>
          </w14:textFill>
        </w:rPr>
        <w:t>（4）总价金额与按单价汇总金额不一致的，以单价金额计算结果为准。但是单价金额计算结果超过预算价的，对其按无效响应处理。</w:t>
      </w:r>
    </w:p>
    <w:p w14:paraId="057446D4">
      <w:pPr>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注：</w:t>
      </w:r>
      <w:bookmarkStart w:id="101" w:name="_Hlk112011461"/>
      <w:r>
        <w:rPr>
          <w:rFonts w:hint="eastAsia"/>
          <w:bCs/>
          <w:color w:val="000000" w:themeColor="text1"/>
          <w14:textFill>
            <w14:solidFill>
              <w14:schemeClr w14:val="tx1"/>
            </w14:solidFill>
          </w14:textFill>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101"/>
      <w:r>
        <w:rPr>
          <w:rFonts w:hint="eastAsia"/>
          <w:bCs/>
          <w:color w:val="000000" w:themeColor="text1"/>
          <w14:textFill>
            <w14:solidFill>
              <w14:schemeClr w14:val="tx1"/>
            </w14:solidFill>
          </w14:textFill>
        </w:rPr>
        <w:t>。</w:t>
      </w:r>
    </w:p>
    <w:p w14:paraId="47ECC33D">
      <w:pPr>
        <w:pStyle w:val="3"/>
        <w:keepLines w:val="0"/>
        <w:numPr>
          <w:ilvl w:val="0"/>
          <w:numId w:val="13"/>
        </w:numPr>
        <w:spacing w:before="120" w:after="120" w:line="360" w:lineRule="auto"/>
        <w:jc w:val="left"/>
        <w:rPr>
          <w:rFonts w:hint="eastAsia" w:ascii="宋体" w:eastAsia="宋体"/>
          <w:color w:val="000000" w:themeColor="text1"/>
          <w:sz w:val="21"/>
          <w:szCs w:val="21"/>
          <w14:textFill>
            <w14:solidFill>
              <w14:schemeClr w14:val="tx1"/>
            </w14:solidFill>
          </w14:textFill>
        </w:rPr>
      </w:pPr>
      <w:bookmarkStart w:id="102" w:name="_Toc25628"/>
      <w:bookmarkEnd w:id="102"/>
      <w:bookmarkStart w:id="103" w:name="_Toc104040698"/>
      <w:bookmarkStart w:id="104" w:name="_Toc14204"/>
      <w:r>
        <w:rPr>
          <w:rFonts w:hint="eastAsia" w:ascii="宋体" w:eastAsia="宋体"/>
          <w:color w:val="000000" w:themeColor="text1"/>
          <w:sz w:val="21"/>
          <w:szCs w:val="21"/>
          <w14:textFill>
            <w14:solidFill>
              <w14:schemeClr w14:val="tx1"/>
            </w14:solidFill>
          </w14:textFill>
        </w:rPr>
        <w:t>政府采购政策落实</w:t>
      </w:r>
      <w:bookmarkEnd w:id="103"/>
      <w:bookmarkEnd w:id="104"/>
    </w:p>
    <w:p w14:paraId="7EFB96C8">
      <w:pPr>
        <w:pStyle w:val="40"/>
        <w:numPr>
          <w:ilvl w:val="1"/>
          <w:numId w:val="15"/>
        </w:numPr>
        <w:spacing w:line="360" w:lineRule="auto"/>
        <w:ind w:left="0" w:firstLine="0"/>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节能、环保要求</w:t>
      </w:r>
    </w:p>
    <w:p w14:paraId="25AAB40D">
      <w:pPr>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14:paraId="076DB8A3">
      <w:pPr>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相关认证机构和获证产品信息以市场监管总局组织建立的节能产品、环境标志产品认证结果信息发布平台公布为准。</w:t>
      </w:r>
    </w:p>
    <w:p w14:paraId="56DE01B3">
      <w:pPr>
        <w:pStyle w:val="40"/>
        <w:numPr>
          <w:ilvl w:val="1"/>
          <w:numId w:val="15"/>
        </w:numPr>
        <w:spacing w:line="360" w:lineRule="auto"/>
        <w:ind w:left="0" w:firstLine="0"/>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对小型、微型企业、监狱企业或残疾人福利性单位给予价格扣除</w:t>
      </w:r>
    </w:p>
    <w:p w14:paraId="6D6358D5">
      <w:pPr>
        <w:spacing w:line="360" w:lineRule="auto"/>
        <w:ind w:firstLine="42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参照《政府采购促进中小企业发展管理办法》、《支持监狱企业发展有关问题的通知》和《财政部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tbl>
      <w:tblPr>
        <w:tblStyle w:val="29"/>
        <w:tblW w:w="982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14"/>
        <w:gridCol w:w="1419"/>
        <w:gridCol w:w="1769"/>
        <w:gridCol w:w="1068"/>
        <w:gridCol w:w="4958"/>
      </w:tblGrid>
      <w:tr w14:paraId="577285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14" w:type="dxa"/>
            <w:tcBorders>
              <w:top w:val="single" w:color="auto" w:sz="4" w:space="0"/>
              <w:left w:val="single" w:color="auto" w:sz="4" w:space="0"/>
              <w:bottom w:val="single" w:color="auto" w:sz="4" w:space="0"/>
              <w:right w:val="single" w:color="auto" w:sz="4" w:space="0"/>
              <w:tl2br w:val="nil"/>
              <w:tr2bl w:val="nil"/>
            </w:tcBorders>
            <w:vAlign w:val="center"/>
          </w:tcPr>
          <w:p w14:paraId="04753AAF">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序号</w:t>
            </w:r>
          </w:p>
        </w:tc>
        <w:tc>
          <w:tcPr>
            <w:tcW w:w="1419" w:type="dxa"/>
            <w:tcBorders>
              <w:top w:val="single" w:color="auto" w:sz="4" w:space="0"/>
              <w:left w:val="single" w:color="auto" w:sz="4" w:space="0"/>
              <w:bottom w:val="single" w:color="auto" w:sz="4" w:space="0"/>
              <w:right w:val="single" w:color="auto" w:sz="4" w:space="0"/>
              <w:tl2br w:val="nil"/>
              <w:tr2bl w:val="nil"/>
            </w:tcBorders>
            <w:vAlign w:val="center"/>
          </w:tcPr>
          <w:p w14:paraId="545EAE8B">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情形</w:t>
            </w:r>
          </w:p>
        </w:tc>
        <w:tc>
          <w:tcPr>
            <w:tcW w:w="1769" w:type="dxa"/>
            <w:tcBorders>
              <w:top w:val="single" w:color="auto" w:sz="4" w:space="0"/>
              <w:left w:val="single" w:color="auto" w:sz="4" w:space="0"/>
              <w:bottom w:val="single" w:color="auto" w:sz="4" w:space="0"/>
              <w:right w:val="single" w:color="auto" w:sz="4" w:space="0"/>
              <w:tl2br w:val="nil"/>
              <w:tr2bl w:val="nil"/>
            </w:tcBorders>
            <w:vAlign w:val="center"/>
          </w:tcPr>
          <w:p w14:paraId="5EF2D3FC">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适用对象</w:t>
            </w:r>
          </w:p>
        </w:tc>
        <w:tc>
          <w:tcPr>
            <w:tcW w:w="1068" w:type="dxa"/>
            <w:tcBorders>
              <w:top w:val="single" w:color="auto" w:sz="4" w:space="0"/>
              <w:left w:val="single" w:color="auto" w:sz="4" w:space="0"/>
              <w:bottom w:val="single" w:color="auto" w:sz="4" w:space="0"/>
              <w:right w:val="single" w:color="auto" w:sz="4" w:space="0"/>
              <w:tl2br w:val="nil"/>
              <w:tr2bl w:val="nil"/>
            </w:tcBorders>
            <w:vAlign w:val="center"/>
          </w:tcPr>
          <w:p w14:paraId="09223B5B">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价格扣除比例</w:t>
            </w:r>
          </w:p>
        </w:tc>
        <w:tc>
          <w:tcPr>
            <w:tcW w:w="4958" w:type="dxa"/>
            <w:tcBorders>
              <w:top w:val="single" w:color="auto" w:sz="4" w:space="0"/>
              <w:left w:val="single" w:color="auto" w:sz="4" w:space="0"/>
              <w:bottom w:val="single" w:color="auto" w:sz="4" w:space="0"/>
              <w:right w:val="single" w:color="auto" w:sz="4" w:space="0"/>
              <w:tl2br w:val="nil"/>
              <w:tr2bl w:val="nil"/>
            </w:tcBorders>
            <w:vAlign w:val="center"/>
          </w:tcPr>
          <w:p w14:paraId="61125DC5">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计算公式</w:t>
            </w:r>
          </w:p>
        </w:tc>
      </w:tr>
      <w:tr w14:paraId="4DB153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614" w:type="dxa"/>
            <w:tcBorders>
              <w:top w:val="single" w:color="auto" w:sz="4" w:space="0"/>
              <w:left w:val="single" w:color="auto" w:sz="4" w:space="0"/>
              <w:bottom w:val="single" w:color="auto" w:sz="4" w:space="0"/>
              <w:right w:val="single" w:color="auto" w:sz="4" w:space="0"/>
              <w:tl2br w:val="nil"/>
              <w:tr2bl w:val="nil"/>
            </w:tcBorders>
          </w:tcPr>
          <w:p w14:paraId="6156845D">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419" w:type="dxa"/>
            <w:tcBorders>
              <w:top w:val="single" w:color="auto" w:sz="4" w:space="0"/>
              <w:left w:val="single" w:color="auto" w:sz="4" w:space="0"/>
              <w:bottom w:val="single" w:color="auto" w:sz="4" w:space="0"/>
              <w:right w:val="single" w:color="auto" w:sz="4" w:space="0"/>
              <w:tl2br w:val="nil"/>
              <w:tr2bl w:val="nil"/>
            </w:tcBorders>
          </w:tcPr>
          <w:p w14:paraId="7CBC1ED3">
            <w:pPr>
              <w:spacing w:line="360" w:lineRule="auto"/>
              <w:jc w:val="left"/>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小型、微型企业，监狱企业，残疾人福利性单位</w:t>
            </w:r>
          </w:p>
        </w:tc>
        <w:tc>
          <w:tcPr>
            <w:tcW w:w="1769" w:type="dxa"/>
            <w:tcBorders>
              <w:top w:val="single" w:color="auto" w:sz="4" w:space="0"/>
              <w:left w:val="single" w:color="auto" w:sz="4" w:space="0"/>
              <w:bottom w:val="single" w:color="auto" w:sz="4" w:space="0"/>
              <w:right w:val="single" w:color="auto" w:sz="4" w:space="0"/>
              <w:tl2br w:val="nil"/>
              <w:tr2bl w:val="nil"/>
            </w:tcBorders>
          </w:tcPr>
          <w:p w14:paraId="7422B12D">
            <w:pPr>
              <w:spacing w:line="360" w:lineRule="auto"/>
              <w:jc w:val="left"/>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服务由小微企业承接</w:t>
            </w:r>
          </w:p>
        </w:tc>
        <w:tc>
          <w:tcPr>
            <w:tcW w:w="1068" w:type="dxa"/>
            <w:tcBorders>
              <w:top w:val="single" w:color="auto" w:sz="4" w:space="0"/>
              <w:left w:val="single" w:color="auto" w:sz="4" w:space="0"/>
              <w:bottom w:val="single" w:color="auto" w:sz="4" w:space="0"/>
              <w:right w:val="single" w:color="auto" w:sz="4" w:space="0"/>
              <w:tl2br w:val="nil"/>
              <w:tr2bl w:val="nil"/>
            </w:tcBorders>
          </w:tcPr>
          <w:p w14:paraId="6EAFFA86">
            <w:pPr>
              <w:spacing w:line="360" w:lineRule="auto"/>
              <w:jc w:val="left"/>
              <w:rPr>
                <w:color w:val="000000" w:themeColor="text1"/>
                <w:kern w:val="0"/>
                <w14:textFill>
                  <w14:solidFill>
                    <w14:schemeClr w14:val="tx1"/>
                  </w14:solidFill>
                </w14:textFill>
              </w:rPr>
            </w:pPr>
            <w:r>
              <w:rPr>
                <w:color w:val="000000" w:themeColor="text1"/>
                <w:kern w:val="0"/>
                <w14:textFill>
                  <w14:solidFill>
                    <w14:schemeClr w14:val="tx1"/>
                  </w14:solidFill>
                </w14:textFill>
              </w:rPr>
              <w:t>10%</w:t>
            </w:r>
          </w:p>
        </w:tc>
        <w:tc>
          <w:tcPr>
            <w:tcW w:w="4958" w:type="dxa"/>
            <w:tcBorders>
              <w:top w:val="single" w:color="auto" w:sz="4" w:space="0"/>
              <w:left w:val="single" w:color="auto" w:sz="4" w:space="0"/>
              <w:bottom w:val="single" w:color="auto" w:sz="4" w:space="0"/>
              <w:right w:val="single" w:color="auto" w:sz="4" w:space="0"/>
              <w:tl2br w:val="nil"/>
              <w:tr2bl w:val="nil"/>
            </w:tcBorders>
          </w:tcPr>
          <w:p w14:paraId="19D4C51A">
            <w:pPr>
              <w:spacing w:line="360" w:lineRule="auto"/>
              <w:jc w:val="left"/>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服务由小微企业承接,即提供服务的人员为小微企业依照《中华人民共和国劳动合同法》订立劳动合同的从业人员时，给予价格扣除C1，即：评审价=最终响应报价x(1-C1);监狱企业与残疾人福利性单位视同小型、微型企业，享受同等价格扣除，当企业属性重复时，不重复价格扣除。根据供应商提供的《中小企业声明函》（格式详见第六章），如版本提供错误则不予扣除。</w:t>
            </w:r>
          </w:p>
        </w:tc>
      </w:tr>
      <w:tr w14:paraId="7D93A2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828" w:type="dxa"/>
            <w:gridSpan w:val="5"/>
            <w:tcBorders>
              <w:top w:val="single" w:color="auto" w:sz="4" w:space="0"/>
              <w:left w:val="single" w:color="auto" w:sz="4" w:space="0"/>
              <w:bottom w:val="single" w:color="auto" w:sz="4" w:space="0"/>
              <w:right w:val="single" w:color="auto" w:sz="4" w:space="0"/>
              <w:tl2br w:val="nil"/>
              <w:tr2bl w:val="nil"/>
            </w:tcBorders>
            <w:vAlign w:val="center"/>
          </w:tcPr>
          <w:p w14:paraId="2A250572">
            <w:pPr>
              <w:spacing w:line="360" w:lineRule="auto"/>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注：上述评审价仅用于计算价格评分，成交金额以实际响应价为准。</w:t>
            </w:r>
          </w:p>
        </w:tc>
      </w:tr>
    </w:tbl>
    <w:p w14:paraId="18D843D8">
      <w:pPr>
        <w:pStyle w:val="11"/>
        <w:spacing w:line="360" w:lineRule="auto"/>
        <w:rPr>
          <w:color w:val="000000" w:themeColor="text1"/>
          <w14:textFill>
            <w14:solidFill>
              <w14:schemeClr w14:val="tx1"/>
            </w14:solidFill>
          </w14:textFill>
        </w:rPr>
      </w:pPr>
    </w:p>
    <w:p w14:paraId="6528ABE9">
      <w:pPr>
        <w:pStyle w:val="40"/>
        <w:numPr>
          <w:ilvl w:val="1"/>
          <w:numId w:val="15"/>
        </w:numPr>
        <w:spacing w:line="360" w:lineRule="auto"/>
        <w:ind w:left="0" w:firstLine="0"/>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价格扣除相关要求</w:t>
      </w:r>
    </w:p>
    <w:p w14:paraId="08881F62">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（1）所称小型和微型企业应当符合以下条件：</w:t>
      </w:r>
    </w:p>
    <w:p w14:paraId="57C9B987">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采购活动中视同中小企业。提供本企业制造的货物或者提供其他小型或微型企业制造的货物。</w:t>
      </w:r>
    </w:p>
    <w:p w14:paraId="7E5B1F03">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符合中小企业划分标准的个体工商户，在采购活动中视同中小企业。</w:t>
      </w:r>
    </w:p>
    <w:p w14:paraId="667F8ADC">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提供本企业（属于小微企业）制造的货物或者提供其他小型或微型企业制造的货物/提供本企业（属于小微企业）承接的服务。</w:t>
      </w:r>
    </w:p>
    <w:p w14:paraId="02022CCF">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14:paraId="02C78051">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说明：供应商应当对其出具的《中小企业声明函》真实性负责，供应商出具的《中小企业声明函》内容不实的，属于提供虚假材料谋取成交。</w:t>
      </w:r>
    </w:p>
    <w:p w14:paraId="5C5DFEF1">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14:paraId="235DB006">
      <w:pPr>
        <w:pStyle w:val="3"/>
        <w:keepLines w:val="0"/>
        <w:numPr>
          <w:ilvl w:val="0"/>
          <w:numId w:val="13"/>
        </w:numPr>
        <w:spacing w:before="120" w:after="120" w:line="360" w:lineRule="auto"/>
        <w:jc w:val="left"/>
        <w:rPr>
          <w:rFonts w:hint="eastAsia" w:ascii="宋体" w:eastAsia="宋体"/>
          <w:color w:val="000000" w:themeColor="text1"/>
          <w:sz w:val="21"/>
          <w:szCs w:val="21"/>
          <w14:textFill>
            <w14:solidFill>
              <w14:schemeClr w14:val="tx1"/>
            </w14:solidFill>
          </w14:textFill>
        </w:rPr>
      </w:pPr>
      <w:bookmarkStart w:id="105" w:name="_Toc104040699"/>
      <w:bookmarkEnd w:id="105"/>
      <w:bookmarkStart w:id="106" w:name="_Toc5192"/>
      <w:bookmarkStart w:id="107" w:name="_Toc29979"/>
      <w:r>
        <w:rPr>
          <w:rFonts w:hint="eastAsia" w:ascii="宋体" w:eastAsia="宋体"/>
          <w:color w:val="000000" w:themeColor="text1"/>
          <w:sz w:val="21"/>
          <w:szCs w:val="21"/>
          <w14:textFill>
            <w14:solidFill>
              <w14:schemeClr w14:val="tx1"/>
            </w14:solidFill>
          </w14:textFill>
        </w:rPr>
        <w:t>评审程序</w:t>
      </w:r>
      <w:bookmarkEnd w:id="106"/>
      <w:bookmarkEnd w:id="107"/>
    </w:p>
    <w:p w14:paraId="75B937A4">
      <w:pPr>
        <w:pStyle w:val="40"/>
        <w:numPr>
          <w:ilvl w:val="0"/>
          <w:numId w:val="16"/>
        </w:numPr>
        <w:spacing w:line="360" w:lineRule="auto"/>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由磋商小组按顺序进行评审。</w:t>
      </w:r>
    </w:p>
    <w:p w14:paraId="5D620D03">
      <w:pPr>
        <w:pStyle w:val="40"/>
        <w:numPr>
          <w:ilvl w:val="0"/>
          <w:numId w:val="16"/>
        </w:numPr>
        <w:spacing w:line="360" w:lineRule="auto"/>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资格性审查和符合性审查</w:t>
      </w:r>
    </w:p>
    <w:p w14:paraId="308FA1EF">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4591E01F">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磋商小组对各磋商供应商进行资格性和符合性审查过程中，对初步被认定为初审不合格或无效响应者应实行及时告知，由磋商小组组长或采购人代表将集体意见及时告知报价当事人。</w:t>
      </w:r>
    </w:p>
    <w:p w14:paraId="7648BB72">
      <w:pPr>
        <w:spacing w:line="360" w:lineRule="auto"/>
        <w:ind w:firstLine="422" w:firstLineChars="200"/>
        <w:jc w:val="left"/>
        <w:outlineLvl w:val="3"/>
        <w:rPr>
          <w:rFonts w:cs="Futura-Heavy"/>
          <w:b/>
          <w:bCs/>
          <w:color w:val="000000" w:themeColor="text1"/>
          <w:kern w:val="0"/>
          <w14:textFill>
            <w14:solidFill>
              <w14:schemeClr w14:val="tx1"/>
            </w14:solidFill>
          </w14:textFill>
        </w:rPr>
      </w:pPr>
      <w:r>
        <w:rPr>
          <w:rFonts w:hint="eastAsia" w:cs="Futura-Heavy"/>
          <w:b/>
          <w:bCs/>
          <w:color w:val="000000" w:themeColor="text1"/>
          <w:kern w:val="0"/>
          <w14:textFill>
            <w14:solidFill>
              <w14:schemeClr w14:val="tx1"/>
            </w14:solidFill>
          </w14:textFill>
        </w:rPr>
        <w:t>表一：资格性审查表</w:t>
      </w:r>
    </w:p>
    <w:tbl>
      <w:tblPr>
        <w:tblStyle w:val="29"/>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713"/>
        <w:gridCol w:w="2467"/>
        <w:gridCol w:w="6782"/>
      </w:tblGrid>
      <w:tr w14:paraId="727702FD">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8" w:type="pct"/>
            <w:tcBorders>
              <w:top w:val="single" w:color="auto" w:sz="4" w:space="0"/>
              <w:left w:val="single" w:color="auto" w:sz="4" w:space="0"/>
              <w:bottom w:val="single" w:color="auto" w:sz="4" w:space="0"/>
              <w:right w:val="single" w:color="auto" w:sz="4" w:space="0"/>
              <w:tl2br w:val="nil"/>
              <w:tr2bl w:val="nil"/>
            </w:tcBorders>
            <w:vAlign w:val="center"/>
          </w:tcPr>
          <w:p w14:paraId="3BAE5932">
            <w:pPr>
              <w:snapToGrid w:val="0"/>
              <w:spacing w:before="156" w:beforeLines="50" w:after="156" w:afterLines="50"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序号</w:t>
            </w:r>
          </w:p>
        </w:tc>
        <w:tc>
          <w:tcPr>
            <w:tcW w:w="4641" w:type="pct"/>
            <w:gridSpan w:val="2"/>
            <w:tcBorders>
              <w:top w:val="single" w:color="auto" w:sz="4" w:space="0"/>
              <w:left w:val="single" w:color="auto" w:sz="4" w:space="0"/>
              <w:bottom w:val="single" w:color="auto" w:sz="4" w:space="0"/>
              <w:right w:val="single" w:color="auto" w:sz="4" w:space="0"/>
              <w:tl2br w:val="nil"/>
              <w:tr2bl w:val="nil"/>
            </w:tcBorders>
            <w:vAlign w:val="center"/>
          </w:tcPr>
          <w:p w14:paraId="52450952">
            <w:pPr>
              <w:snapToGrid w:val="0"/>
              <w:spacing w:before="156" w:beforeLines="50" w:after="156" w:afterLines="50"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资格审查内容</w:t>
            </w:r>
          </w:p>
        </w:tc>
      </w:tr>
      <w:tr w14:paraId="67F6AAF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8" w:type="pct"/>
            <w:tcBorders>
              <w:top w:val="single" w:color="auto" w:sz="4" w:space="0"/>
              <w:left w:val="single" w:color="auto" w:sz="4" w:space="0"/>
              <w:bottom w:val="single" w:color="auto" w:sz="4" w:space="0"/>
              <w:right w:val="single" w:color="auto" w:sz="4" w:space="0"/>
              <w:tl2br w:val="nil"/>
              <w:tr2bl w:val="nil"/>
            </w:tcBorders>
            <w:vAlign w:val="center"/>
          </w:tcPr>
          <w:p w14:paraId="7918F01E">
            <w:pPr>
              <w:pStyle w:val="40"/>
              <w:numPr>
                <w:ilvl w:val="0"/>
                <w:numId w:val="17"/>
              </w:numPr>
              <w:snapToGrid w:val="0"/>
              <w:spacing w:line="360" w:lineRule="auto"/>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06CD540C">
            <w:pPr>
              <w:snapToGrid w:val="0"/>
              <w:spacing w:line="360" w:lineRule="auto"/>
              <w:jc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具有独立承担民事责任的能力</w:t>
            </w:r>
          </w:p>
        </w:tc>
        <w:tc>
          <w:tcPr>
            <w:tcW w:w="3402" w:type="pct"/>
            <w:tcBorders>
              <w:top w:val="single" w:color="auto" w:sz="4" w:space="0"/>
              <w:left w:val="single" w:color="auto" w:sz="4" w:space="0"/>
              <w:bottom w:val="single" w:color="auto" w:sz="4" w:space="0"/>
              <w:right w:val="single" w:color="auto" w:sz="4" w:space="0"/>
              <w:tl2br w:val="nil"/>
              <w:tr2bl w:val="nil"/>
            </w:tcBorders>
            <w:vAlign w:val="center"/>
          </w:tcPr>
          <w:p w14:paraId="233C9806">
            <w:pPr>
              <w:snapToGrid w:val="0"/>
              <w:spacing w:line="360" w:lineRule="auto"/>
              <w:rPr>
                <w:bCs/>
                <w:color w:val="000000" w:themeColor="text1"/>
                <w14:textFill>
                  <w14:solidFill>
                    <w14:schemeClr w14:val="tx1"/>
                  </w14:solidFill>
                </w14:textFill>
              </w:rPr>
            </w:pPr>
            <w:r>
              <w:rPr>
                <w:rFonts w:hint="eastAsia"/>
                <w:color w:val="000000" w:themeColor="text1"/>
                <w14:textFill>
                  <w14:solidFill>
                    <w14:schemeClr w14:val="tx1"/>
                  </w14:solidFill>
                </w14:textFill>
              </w:rPr>
              <w:t>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tc>
      </w:tr>
      <w:tr w14:paraId="375B78F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8" w:type="pct"/>
            <w:tcBorders>
              <w:top w:val="single" w:color="auto" w:sz="4" w:space="0"/>
              <w:left w:val="single" w:color="auto" w:sz="4" w:space="0"/>
              <w:bottom w:val="single" w:color="auto" w:sz="4" w:space="0"/>
              <w:right w:val="single" w:color="auto" w:sz="4" w:space="0"/>
              <w:tl2br w:val="nil"/>
              <w:tr2bl w:val="nil"/>
            </w:tcBorders>
            <w:vAlign w:val="center"/>
          </w:tcPr>
          <w:p w14:paraId="07B33DF4">
            <w:pPr>
              <w:pStyle w:val="40"/>
              <w:numPr>
                <w:ilvl w:val="0"/>
                <w:numId w:val="17"/>
              </w:numPr>
              <w:snapToGrid w:val="0"/>
              <w:spacing w:line="360" w:lineRule="auto"/>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01CE4C3B">
            <w:pPr>
              <w:snapToGrid w:val="0"/>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有依法缴纳税收和社会保障资金的良好记录</w:t>
            </w:r>
          </w:p>
        </w:tc>
        <w:tc>
          <w:tcPr>
            <w:tcW w:w="3402" w:type="pct"/>
            <w:tcBorders>
              <w:top w:val="single" w:color="auto" w:sz="4" w:space="0"/>
              <w:left w:val="single" w:color="auto" w:sz="4" w:space="0"/>
              <w:bottom w:val="single" w:color="auto" w:sz="4" w:space="0"/>
              <w:right w:val="single" w:color="auto" w:sz="4" w:space="0"/>
              <w:tl2br w:val="nil"/>
              <w:tr2bl w:val="nil"/>
            </w:tcBorders>
            <w:vAlign w:val="center"/>
          </w:tcPr>
          <w:p w14:paraId="1F850F26">
            <w:pPr>
              <w:pStyle w:val="71"/>
              <w:snapToGrid w:val="0"/>
              <w:spacing w:line="360" w:lineRule="auto"/>
              <w:ind w:firstLine="0" w:firstLineChars="0"/>
              <w:rPr>
                <w:bCs/>
                <w:color w:val="000000" w:themeColor="text1"/>
                <w14:textFill>
                  <w14:solidFill>
                    <w14:schemeClr w14:val="tx1"/>
                  </w14:solidFill>
                </w14:textFill>
              </w:rPr>
            </w:pPr>
            <w:r>
              <w:rPr>
                <w:rFonts w:hint="eastAsia" w:cs="等线"/>
                <w:color w:val="000000" w:themeColor="text1"/>
                <w14:textFill>
                  <w14:solidFill>
                    <w14:schemeClr w14:val="tx1"/>
                  </w14:solidFill>
                </w14:textFill>
              </w:rPr>
              <w:t>①提供2025年6月至响应截止时间内任意1个月的依法缴纳税收的证明文件，如依法免税的，应提供相应文件证明其依法免税；②提供2025年6月至响应截止时间内任意1个月的依法缴纳社会保险的证明文件，如依法不需要缴纳社会保障资金的，应提供相应文件证明其依法不需要缴纳社会保障资金</w:t>
            </w:r>
            <w:r>
              <w:rPr>
                <w:rFonts w:hint="eastAsia"/>
                <w:color w:val="000000" w:themeColor="text1"/>
                <w14:textFill>
                  <w14:solidFill>
                    <w14:schemeClr w14:val="tx1"/>
                  </w14:solidFill>
                </w14:textFill>
              </w:rPr>
              <w:t>。</w:t>
            </w:r>
          </w:p>
        </w:tc>
      </w:tr>
      <w:tr w14:paraId="7D69630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8" w:type="pct"/>
            <w:tcBorders>
              <w:top w:val="single" w:color="auto" w:sz="4" w:space="0"/>
              <w:left w:val="single" w:color="auto" w:sz="4" w:space="0"/>
              <w:bottom w:val="single" w:color="auto" w:sz="4" w:space="0"/>
              <w:right w:val="single" w:color="auto" w:sz="4" w:space="0"/>
              <w:tl2br w:val="nil"/>
              <w:tr2bl w:val="nil"/>
            </w:tcBorders>
            <w:vAlign w:val="center"/>
          </w:tcPr>
          <w:p w14:paraId="7B0E39B3">
            <w:pPr>
              <w:pStyle w:val="40"/>
              <w:numPr>
                <w:ilvl w:val="0"/>
                <w:numId w:val="17"/>
              </w:numPr>
              <w:snapToGrid w:val="0"/>
              <w:spacing w:line="360" w:lineRule="auto"/>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12891A97">
            <w:pPr>
              <w:snapToGrid w:val="0"/>
              <w:spacing w:line="360" w:lineRule="auto"/>
              <w:jc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具有良好的商业信誉和健全的财务会计制度</w:t>
            </w:r>
          </w:p>
        </w:tc>
        <w:tc>
          <w:tcPr>
            <w:tcW w:w="3402" w:type="pct"/>
            <w:tcBorders>
              <w:top w:val="single" w:color="auto" w:sz="4" w:space="0"/>
              <w:left w:val="single" w:color="auto" w:sz="4" w:space="0"/>
              <w:bottom w:val="single" w:color="auto" w:sz="4" w:space="0"/>
              <w:right w:val="single" w:color="auto" w:sz="4" w:space="0"/>
              <w:tl2br w:val="nil"/>
              <w:tr2bl w:val="nil"/>
            </w:tcBorders>
            <w:vAlign w:val="center"/>
          </w:tcPr>
          <w:p w14:paraId="30F26419">
            <w:pPr>
              <w:snapToGrid w:val="0"/>
              <w:spacing w:line="360" w:lineRule="auto"/>
              <w:rPr>
                <w:bCs/>
                <w:color w:val="000000" w:themeColor="text1"/>
                <w14:textFill>
                  <w14:solidFill>
                    <w14:schemeClr w14:val="tx1"/>
                  </w14:solidFill>
                </w14:textFill>
              </w:rPr>
            </w:pPr>
            <w:r>
              <w:rPr>
                <w:rFonts w:hint="eastAsia" w:cs="等线"/>
                <w:color w:val="000000" w:themeColor="text1"/>
                <w14:textFill>
                  <w14:solidFill>
                    <w14:schemeClr w14:val="tx1"/>
                  </w14:solidFill>
                </w14:textFill>
              </w:rPr>
              <w:t>提供以下①或②证明材料：①经会计师事务所审计的2024年度财务状况报告；②同时提供a.基本开户行出具的资信证明，b.《基本存款账号信息》或《开户许可证》）。</w:t>
            </w:r>
          </w:p>
        </w:tc>
      </w:tr>
      <w:tr w14:paraId="744D13A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8" w:type="pct"/>
            <w:tcBorders>
              <w:top w:val="single" w:color="auto" w:sz="4" w:space="0"/>
              <w:left w:val="single" w:color="auto" w:sz="4" w:space="0"/>
              <w:bottom w:val="single" w:color="auto" w:sz="4" w:space="0"/>
              <w:right w:val="single" w:color="auto" w:sz="4" w:space="0"/>
              <w:tl2br w:val="nil"/>
              <w:tr2bl w:val="nil"/>
            </w:tcBorders>
            <w:vAlign w:val="center"/>
          </w:tcPr>
          <w:p w14:paraId="2288FC19">
            <w:pPr>
              <w:pStyle w:val="40"/>
              <w:numPr>
                <w:ilvl w:val="0"/>
                <w:numId w:val="17"/>
              </w:numPr>
              <w:snapToGrid w:val="0"/>
              <w:spacing w:line="360" w:lineRule="auto"/>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4C3A184F">
            <w:pPr>
              <w:snapToGrid w:val="0"/>
              <w:spacing w:line="360" w:lineRule="auto"/>
              <w:jc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履行合同所必需的设备和专业技术能力</w:t>
            </w:r>
          </w:p>
        </w:tc>
        <w:tc>
          <w:tcPr>
            <w:tcW w:w="3402" w:type="pct"/>
            <w:tcBorders>
              <w:top w:val="single" w:color="auto" w:sz="4" w:space="0"/>
              <w:left w:val="single" w:color="auto" w:sz="4" w:space="0"/>
              <w:bottom w:val="single" w:color="auto" w:sz="4" w:space="0"/>
              <w:right w:val="single" w:color="auto" w:sz="4" w:space="0"/>
              <w:tl2br w:val="nil"/>
              <w:tr2bl w:val="nil"/>
            </w:tcBorders>
            <w:vAlign w:val="center"/>
          </w:tcPr>
          <w:p w14:paraId="4DD83C80">
            <w:pPr>
              <w:snapToGrid w:val="0"/>
              <w:spacing w:line="360" w:lineRule="auto"/>
              <w:rPr>
                <w:bCs/>
                <w:color w:val="000000" w:themeColor="text1"/>
                <w14:textFill>
                  <w14:solidFill>
                    <w14:schemeClr w14:val="tx1"/>
                  </w14:solidFill>
                </w14:textFill>
              </w:rPr>
            </w:pPr>
            <w:r>
              <w:rPr>
                <w:rFonts w:hint="eastAsia"/>
                <w:color w:val="000000" w:themeColor="text1"/>
                <w14:textFill>
                  <w14:solidFill>
                    <w14:schemeClr w14:val="tx1"/>
                  </w14:solidFill>
                </w14:textFill>
              </w:rPr>
              <w:t>响应文件中须提供《资格条件承诺函》，并按格式要求响应。</w:t>
            </w:r>
          </w:p>
        </w:tc>
      </w:tr>
      <w:tr w14:paraId="707E8AA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8" w:type="pct"/>
            <w:tcBorders>
              <w:top w:val="single" w:color="auto" w:sz="4" w:space="0"/>
              <w:left w:val="single" w:color="auto" w:sz="4" w:space="0"/>
              <w:bottom w:val="single" w:color="auto" w:sz="4" w:space="0"/>
              <w:right w:val="single" w:color="auto" w:sz="4" w:space="0"/>
              <w:tl2br w:val="nil"/>
              <w:tr2bl w:val="nil"/>
            </w:tcBorders>
            <w:vAlign w:val="center"/>
          </w:tcPr>
          <w:p w14:paraId="445456D7">
            <w:pPr>
              <w:pStyle w:val="40"/>
              <w:numPr>
                <w:ilvl w:val="0"/>
                <w:numId w:val="17"/>
              </w:numPr>
              <w:snapToGrid w:val="0"/>
              <w:spacing w:line="360" w:lineRule="auto"/>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14F5C08C">
            <w:pPr>
              <w:snapToGrid w:val="0"/>
              <w:spacing w:line="360" w:lineRule="auto"/>
              <w:jc w:val="center"/>
              <w:rPr>
                <w:bCs/>
                <w:color w:val="000000" w:themeColor="text1"/>
                <w14:textFill>
                  <w14:solidFill>
                    <w14:schemeClr w14:val="tx1"/>
                  </w14:solidFill>
                </w14:textFill>
              </w:rPr>
            </w:pPr>
            <w:r>
              <w:rPr>
                <w:rFonts w:hint="eastAsia"/>
                <w:color w:val="000000" w:themeColor="text1"/>
                <w14:textFill>
                  <w14:solidFill>
                    <w14:schemeClr w14:val="tx1"/>
                  </w14:solidFill>
                </w14:textFill>
              </w:rPr>
              <w:t>参加采购活动前3年内，在经营活动中没有重大违法记录</w:t>
            </w:r>
          </w:p>
        </w:tc>
        <w:tc>
          <w:tcPr>
            <w:tcW w:w="3402" w:type="pct"/>
            <w:tcBorders>
              <w:top w:val="single" w:color="auto" w:sz="4" w:space="0"/>
              <w:left w:val="single" w:color="auto" w:sz="4" w:space="0"/>
              <w:bottom w:val="single" w:color="auto" w:sz="4" w:space="0"/>
              <w:right w:val="single" w:color="auto" w:sz="4" w:space="0"/>
              <w:tl2br w:val="nil"/>
              <w:tr2bl w:val="nil"/>
            </w:tcBorders>
            <w:vAlign w:val="center"/>
          </w:tcPr>
          <w:p w14:paraId="02BDFE5C">
            <w:pPr>
              <w:snapToGrid w:val="0"/>
              <w:spacing w:line="360" w:lineRule="auto"/>
              <w:rPr>
                <w:bCs/>
                <w:color w:val="000000" w:themeColor="text1"/>
                <w14:textFill>
                  <w14:solidFill>
                    <w14:schemeClr w14:val="tx1"/>
                  </w14:solidFill>
                </w14:textFill>
              </w:rPr>
            </w:pPr>
            <w:r>
              <w:rPr>
                <w:rFonts w:hint="eastAsia"/>
                <w:color w:val="000000" w:themeColor="text1"/>
                <w14:textFill>
                  <w14:solidFill>
                    <w14:schemeClr w14:val="tx1"/>
                  </w14:solidFill>
                </w14:textFill>
              </w:rPr>
              <w:t>响应文件中须提供《资格条件承诺函》，并按格式要求响应。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7FD3C2E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8" w:type="pct"/>
            <w:tcBorders>
              <w:top w:val="single" w:color="auto" w:sz="4" w:space="0"/>
              <w:left w:val="single" w:color="auto" w:sz="4" w:space="0"/>
              <w:bottom w:val="single" w:color="auto" w:sz="4" w:space="0"/>
              <w:right w:val="single" w:color="auto" w:sz="4" w:space="0"/>
              <w:tl2br w:val="nil"/>
              <w:tr2bl w:val="nil"/>
            </w:tcBorders>
            <w:vAlign w:val="center"/>
          </w:tcPr>
          <w:p w14:paraId="7BBBBA02">
            <w:pPr>
              <w:pStyle w:val="40"/>
              <w:numPr>
                <w:ilvl w:val="0"/>
                <w:numId w:val="17"/>
              </w:numPr>
              <w:snapToGrid w:val="0"/>
              <w:spacing w:line="360" w:lineRule="auto"/>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03C89F6A">
            <w:pPr>
              <w:snapToGrid w:val="0"/>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具备法律、行政法规规定的其他条件</w:t>
            </w:r>
          </w:p>
        </w:tc>
        <w:tc>
          <w:tcPr>
            <w:tcW w:w="3402" w:type="pct"/>
            <w:tcBorders>
              <w:top w:val="single" w:color="auto" w:sz="4" w:space="0"/>
              <w:left w:val="single" w:color="auto" w:sz="4" w:space="0"/>
              <w:bottom w:val="single" w:color="auto" w:sz="4" w:space="0"/>
              <w:right w:val="single" w:color="auto" w:sz="4" w:space="0"/>
              <w:tl2br w:val="nil"/>
              <w:tr2bl w:val="nil"/>
            </w:tcBorders>
            <w:vAlign w:val="center"/>
          </w:tcPr>
          <w:p w14:paraId="72FBBDF3">
            <w:pPr>
              <w:snapToGrid w:val="0"/>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响应文件中须提供《资格条件承诺函》，并按格式要求响应。</w:t>
            </w:r>
          </w:p>
        </w:tc>
      </w:tr>
      <w:tr w14:paraId="5B7C6B03">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8" w:type="pct"/>
            <w:tcBorders>
              <w:top w:val="single" w:color="auto" w:sz="4" w:space="0"/>
              <w:left w:val="single" w:color="auto" w:sz="4" w:space="0"/>
              <w:bottom w:val="single" w:color="auto" w:sz="4" w:space="0"/>
              <w:right w:val="single" w:color="auto" w:sz="4" w:space="0"/>
              <w:tl2br w:val="nil"/>
              <w:tr2bl w:val="nil"/>
            </w:tcBorders>
            <w:vAlign w:val="center"/>
          </w:tcPr>
          <w:p w14:paraId="330B7281">
            <w:pPr>
              <w:pStyle w:val="40"/>
              <w:numPr>
                <w:ilvl w:val="0"/>
                <w:numId w:val="17"/>
              </w:numPr>
              <w:snapToGrid w:val="0"/>
              <w:spacing w:line="360" w:lineRule="auto"/>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4C15B2FA">
            <w:pPr>
              <w:snapToGrid w:val="0"/>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落实政府采购政策需满足的资格要求</w:t>
            </w:r>
          </w:p>
        </w:tc>
        <w:tc>
          <w:tcPr>
            <w:tcW w:w="3402" w:type="pct"/>
            <w:tcBorders>
              <w:top w:val="single" w:color="auto" w:sz="4" w:space="0"/>
              <w:left w:val="single" w:color="auto" w:sz="4" w:space="0"/>
              <w:bottom w:val="single" w:color="auto" w:sz="4" w:space="0"/>
              <w:right w:val="single" w:color="auto" w:sz="4" w:space="0"/>
              <w:tl2br w:val="nil"/>
              <w:tr2bl w:val="nil"/>
            </w:tcBorders>
            <w:vAlign w:val="center"/>
          </w:tcPr>
          <w:p w14:paraId="1886CA02">
            <w:pPr>
              <w:snapToGrid w:val="0"/>
              <w:spacing w:line="360" w:lineRule="auto"/>
              <w:rPr>
                <w:color w:val="000000" w:themeColor="text1"/>
                <w14:textFill>
                  <w14:solidFill>
                    <w14:schemeClr w14:val="tx1"/>
                  </w14:solidFill>
                </w14:textFill>
              </w:rPr>
            </w:pPr>
            <w:r>
              <w:rPr>
                <w:rStyle w:val="36"/>
                <w:rFonts w:hint="eastAsia" w:ascii="宋体"/>
                <w:color w:val="000000" w:themeColor="text1"/>
                <w14:textFill>
                  <w14:solidFill>
                    <w14:schemeClr w14:val="tx1"/>
                  </w14:solidFill>
                </w14:textFill>
              </w:rPr>
              <w:t>本项目不属于专门面向中小企业采购的项目。</w:t>
            </w:r>
          </w:p>
        </w:tc>
      </w:tr>
      <w:tr w14:paraId="41EE5821">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8" w:type="pct"/>
            <w:tcBorders>
              <w:top w:val="single" w:color="auto" w:sz="4" w:space="0"/>
              <w:left w:val="single" w:color="auto" w:sz="4" w:space="0"/>
              <w:bottom w:val="single" w:color="auto" w:sz="4" w:space="0"/>
              <w:right w:val="single" w:color="auto" w:sz="4" w:space="0"/>
              <w:tl2br w:val="nil"/>
              <w:tr2bl w:val="nil"/>
            </w:tcBorders>
            <w:vAlign w:val="center"/>
          </w:tcPr>
          <w:p w14:paraId="712F9DC2">
            <w:pPr>
              <w:pStyle w:val="40"/>
              <w:numPr>
                <w:ilvl w:val="0"/>
                <w:numId w:val="17"/>
              </w:numPr>
              <w:snapToGrid w:val="0"/>
              <w:spacing w:line="360" w:lineRule="auto"/>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5DC9789F">
            <w:pPr>
              <w:snapToGrid w:val="0"/>
              <w:spacing w:line="360" w:lineRule="auto"/>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供应商符合法律、行政法规规定的其他条件</w:t>
            </w:r>
          </w:p>
        </w:tc>
        <w:tc>
          <w:tcPr>
            <w:tcW w:w="3402" w:type="pct"/>
            <w:tcBorders>
              <w:top w:val="single" w:color="auto" w:sz="4" w:space="0"/>
              <w:left w:val="single" w:color="auto" w:sz="4" w:space="0"/>
              <w:bottom w:val="single" w:color="auto" w:sz="4" w:space="0"/>
              <w:right w:val="single" w:color="auto" w:sz="4" w:space="0"/>
              <w:tl2br w:val="nil"/>
              <w:tr2bl w:val="nil"/>
            </w:tcBorders>
            <w:vAlign w:val="center"/>
          </w:tcPr>
          <w:p w14:paraId="7C24E4EA">
            <w:pPr>
              <w:snapToGrid w:val="0"/>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单位负责人为同一人或者存在直接控股、管理关系的不同供应商，不得同时参加本采购项目响应。为本项目提供整体设计、规范编制或者项目管理、监理、检测等服务的供应商，不得再参与本项目响应。在《响应承诺函》中进行相关申明。</w:t>
            </w:r>
          </w:p>
        </w:tc>
      </w:tr>
      <w:tr w14:paraId="3BD3477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8" w:type="pct"/>
            <w:tcBorders>
              <w:top w:val="single" w:color="auto" w:sz="4" w:space="0"/>
              <w:left w:val="single" w:color="auto" w:sz="4" w:space="0"/>
              <w:bottom w:val="single" w:color="auto" w:sz="4" w:space="0"/>
              <w:right w:val="single" w:color="auto" w:sz="4" w:space="0"/>
              <w:tl2br w:val="nil"/>
              <w:tr2bl w:val="nil"/>
            </w:tcBorders>
            <w:vAlign w:val="center"/>
          </w:tcPr>
          <w:p w14:paraId="48515448">
            <w:pPr>
              <w:pStyle w:val="40"/>
              <w:numPr>
                <w:ilvl w:val="0"/>
                <w:numId w:val="17"/>
              </w:numPr>
              <w:snapToGrid w:val="0"/>
              <w:spacing w:line="360" w:lineRule="auto"/>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0F10885F">
            <w:pPr>
              <w:snapToGrid w:val="0"/>
              <w:spacing w:line="360" w:lineRule="auto"/>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信用记录</w:t>
            </w:r>
          </w:p>
        </w:tc>
        <w:tc>
          <w:tcPr>
            <w:tcW w:w="3402" w:type="pct"/>
            <w:tcBorders>
              <w:top w:val="single" w:color="auto" w:sz="4" w:space="0"/>
              <w:left w:val="single" w:color="auto" w:sz="4" w:space="0"/>
              <w:bottom w:val="single" w:color="auto" w:sz="4" w:space="0"/>
              <w:right w:val="single" w:color="auto" w:sz="4" w:space="0"/>
              <w:tl2br w:val="nil"/>
              <w:tr2bl w:val="nil"/>
            </w:tcBorders>
            <w:vAlign w:val="center"/>
          </w:tcPr>
          <w:p w14:paraId="2AFF0E53">
            <w:pPr>
              <w:shd w:val="clear" w:color="auto" w:fill="FFFFFF"/>
              <w:spacing w:line="360" w:lineRule="auto"/>
              <w:jc w:val="left"/>
              <w:rPr>
                <w:bCs/>
                <w:color w:val="000000" w:themeColor="text1"/>
                <w14:textFill>
                  <w14:solidFill>
                    <w14:schemeClr w14:val="tx1"/>
                  </w14:solidFill>
                </w14:textFill>
              </w:rPr>
            </w:pPr>
            <w:r>
              <w:rPr>
                <w:rFonts w:hint="eastAsia"/>
                <w:color w:val="000000" w:themeColor="text1"/>
                <w14:textFill>
                  <w14:solidFill>
                    <w14:schemeClr w14:val="tx1"/>
                  </w14:solidFill>
                </w14:textFill>
              </w:rPr>
              <w:t>供应商未被列入“信用中国”网站（www.creditchina.gov.cn）“失信被执行人名单或重大税收违法案件当事人名单（即‘重大税收违法失信主体’）或政府采购严重违法失信行为记录名单”中；不处于“中国政府采购网”（www.ccgp.gov.cn）“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tc>
      </w:tr>
      <w:tr w14:paraId="159BA9B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8" w:type="pct"/>
            <w:tcBorders>
              <w:top w:val="single" w:color="auto" w:sz="4" w:space="0"/>
              <w:left w:val="single" w:color="auto" w:sz="4" w:space="0"/>
              <w:bottom w:val="single" w:color="auto" w:sz="4" w:space="0"/>
              <w:right w:val="single" w:color="auto" w:sz="4" w:space="0"/>
              <w:tl2br w:val="nil"/>
              <w:tr2bl w:val="nil"/>
            </w:tcBorders>
            <w:vAlign w:val="center"/>
          </w:tcPr>
          <w:p w14:paraId="61DCDC6E">
            <w:pPr>
              <w:pStyle w:val="40"/>
              <w:numPr>
                <w:ilvl w:val="0"/>
                <w:numId w:val="17"/>
              </w:numPr>
              <w:snapToGrid w:val="0"/>
              <w:spacing w:line="360" w:lineRule="auto"/>
              <w:ind w:left="0" w:firstLine="0"/>
              <w:jc w:val="center"/>
              <w:rPr>
                <w:rFonts w:hint="eastAsia" w:ascii="宋体"/>
                <w:bCs/>
                <w:color w:val="000000" w:themeColor="text1"/>
                <w14:textFill>
                  <w14:solidFill>
                    <w14:schemeClr w14:val="tx1"/>
                  </w14:solidFill>
                </w14:textFill>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5C4F75F9">
            <w:pPr>
              <w:snapToGrid w:val="0"/>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其他要求</w:t>
            </w:r>
          </w:p>
        </w:tc>
        <w:tc>
          <w:tcPr>
            <w:tcW w:w="3402" w:type="pct"/>
            <w:tcBorders>
              <w:top w:val="single" w:color="auto" w:sz="4" w:space="0"/>
              <w:left w:val="single" w:color="auto" w:sz="4" w:space="0"/>
              <w:bottom w:val="single" w:color="auto" w:sz="4" w:space="0"/>
              <w:right w:val="single" w:color="auto" w:sz="4" w:space="0"/>
              <w:tl2br w:val="nil"/>
              <w:tr2bl w:val="nil"/>
            </w:tcBorders>
            <w:vAlign w:val="center"/>
          </w:tcPr>
          <w:p w14:paraId="52E7006B">
            <w:pPr>
              <w:shd w:val="clear" w:color="auto" w:fill="FFFFFF"/>
              <w:spacing w:line="360" w:lineRule="auto"/>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本项目不接受联合体响应。</w:t>
            </w:r>
          </w:p>
        </w:tc>
      </w:tr>
      <w:tr w14:paraId="5C1B55D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vAlign w:val="center"/>
          </w:tcPr>
          <w:p w14:paraId="1E76B305">
            <w:pPr>
              <w:snapToGrid w:val="0"/>
              <w:spacing w:line="360" w:lineRule="auto"/>
              <w:jc w:val="center"/>
              <w:rPr>
                <w:bCs/>
                <w:color w:val="000000" w:themeColor="text1"/>
                <w14:textFill>
                  <w14:solidFill>
                    <w14:schemeClr w14:val="tx1"/>
                  </w14:solidFill>
                </w14:textFill>
              </w:rPr>
            </w:pPr>
            <w:r>
              <w:rPr>
                <w:rFonts w:hint="eastAsia"/>
                <w:b/>
                <w:color w:val="000000" w:themeColor="text1"/>
                <w14:textFill>
                  <w14:solidFill>
                    <w14:schemeClr w14:val="tx1"/>
                  </w14:solidFill>
                </w14:textFill>
              </w:rPr>
              <w:t>结论</w:t>
            </w:r>
          </w:p>
        </w:tc>
      </w:tr>
      <w:tr w14:paraId="3C948F0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vAlign w:val="center"/>
          </w:tcPr>
          <w:p w14:paraId="299FAD6F">
            <w:pPr>
              <w:spacing w:line="360" w:lineRule="auto"/>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填表说明：</w:t>
            </w:r>
          </w:p>
          <w:p w14:paraId="5C43AB13">
            <w:pPr>
              <w:spacing w:line="360" w:lineRule="auto"/>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1.“通过”打“√”，“未通过”打“×”；</w:t>
            </w:r>
          </w:p>
          <w:p w14:paraId="08937DB9">
            <w:pPr>
              <w:spacing w:line="360" w:lineRule="auto"/>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2.在结论栏中填写“通过”或“未通过”；</w:t>
            </w:r>
          </w:p>
          <w:p w14:paraId="069D172D">
            <w:pPr>
              <w:spacing w:line="360" w:lineRule="auto"/>
              <w:jc w:val="left"/>
              <w:rPr>
                <w:b/>
                <w:color w:val="000000" w:themeColor="text1"/>
                <w14:textFill>
                  <w14:solidFill>
                    <w14:schemeClr w14:val="tx1"/>
                  </w14:solidFill>
                </w14:textFill>
              </w:rPr>
            </w:pPr>
            <w:r>
              <w:rPr>
                <w:rFonts w:hint="eastAsia"/>
                <w:bCs/>
                <w:color w:val="000000" w:themeColor="text1"/>
                <w14:textFill>
                  <w14:solidFill>
                    <w14:schemeClr w14:val="tx1"/>
                  </w14:solidFill>
                </w14:textFill>
              </w:rPr>
              <w:t>3.供应商有一个“未通过”，审查结论视为“未通过”。</w:t>
            </w:r>
          </w:p>
        </w:tc>
      </w:tr>
    </w:tbl>
    <w:p w14:paraId="54E41EC3">
      <w:pPr>
        <w:spacing w:line="360" w:lineRule="auto"/>
        <w:jc w:val="left"/>
        <w:rPr>
          <w:color w:val="000000" w:themeColor="text1"/>
          <w14:textFill>
            <w14:solidFill>
              <w14:schemeClr w14:val="tx1"/>
            </w14:solidFill>
          </w14:textFill>
        </w:rPr>
      </w:pPr>
    </w:p>
    <w:p w14:paraId="621F29F2">
      <w:pPr>
        <w:spacing w:line="360" w:lineRule="auto"/>
        <w:jc w:val="left"/>
        <w:rPr>
          <w:color w:val="000000" w:themeColor="text1"/>
          <w14:textFill>
            <w14:solidFill>
              <w14:schemeClr w14:val="tx1"/>
            </w14:solidFill>
          </w14:textFill>
        </w:rPr>
      </w:pPr>
    </w:p>
    <w:p w14:paraId="0931C532">
      <w:pPr>
        <w:spacing w:line="360" w:lineRule="auto"/>
        <w:ind w:firstLine="422" w:firstLineChars="200"/>
        <w:jc w:val="left"/>
        <w:outlineLvl w:val="3"/>
        <w:rPr>
          <w:rFonts w:cs="Futura-Heavy"/>
          <w:b/>
          <w:bCs/>
          <w:color w:val="000000" w:themeColor="text1"/>
          <w:kern w:val="0"/>
          <w14:textFill>
            <w14:solidFill>
              <w14:schemeClr w14:val="tx1"/>
            </w14:solidFill>
          </w14:textFill>
        </w:rPr>
      </w:pPr>
      <w:r>
        <w:rPr>
          <w:rFonts w:hint="eastAsia" w:cs="Futura-Heavy"/>
          <w:b/>
          <w:bCs/>
          <w:color w:val="000000" w:themeColor="text1"/>
          <w:kern w:val="0"/>
          <w14:textFill>
            <w14:solidFill>
              <w14:schemeClr w14:val="tx1"/>
            </w14:solidFill>
          </w14:textFill>
        </w:rPr>
        <w:t>表二：符合性审查表</w:t>
      </w:r>
    </w:p>
    <w:tbl>
      <w:tblPr>
        <w:tblStyle w:val="29"/>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715"/>
        <w:gridCol w:w="2313"/>
        <w:gridCol w:w="6934"/>
      </w:tblGrid>
      <w:tr w14:paraId="3F549BF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45" w:hRule="atLeast"/>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51CD6328">
            <w:pPr>
              <w:snapToGrid w:val="0"/>
              <w:spacing w:before="156" w:beforeLines="50" w:after="156" w:afterLines="50"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序号</w:t>
            </w:r>
          </w:p>
        </w:tc>
        <w:tc>
          <w:tcPr>
            <w:tcW w:w="1161" w:type="pct"/>
            <w:tcBorders>
              <w:top w:val="single" w:color="auto" w:sz="4" w:space="0"/>
              <w:left w:val="single" w:color="auto" w:sz="4" w:space="0"/>
              <w:bottom w:val="single" w:color="auto" w:sz="4" w:space="0"/>
              <w:right w:val="single" w:color="auto" w:sz="4" w:space="0"/>
              <w:tl2br w:val="nil"/>
              <w:tr2bl w:val="nil"/>
            </w:tcBorders>
            <w:vAlign w:val="center"/>
          </w:tcPr>
          <w:p w14:paraId="3A28E96C">
            <w:pPr>
              <w:snapToGrid w:val="0"/>
              <w:spacing w:before="156" w:beforeLines="50" w:after="156" w:afterLines="50"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评审点要求概况</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738E9BFC">
            <w:pPr>
              <w:snapToGrid w:val="0"/>
              <w:spacing w:before="156" w:beforeLines="50" w:after="156" w:afterLines="50"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评审点具体描述</w:t>
            </w:r>
          </w:p>
        </w:tc>
      </w:tr>
      <w:tr w14:paraId="10024818">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45" w:hRule="atLeast"/>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1ED3A418">
            <w:pPr>
              <w:pStyle w:val="40"/>
              <w:numPr>
                <w:ilvl w:val="0"/>
                <w:numId w:val="18"/>
              </w:numPr>
              <w:spacing w:line="360" w:lineRule="auto"/>
              <w:ind w:left="0" w:firstLine="0"/>
              <w:jc w:val="center"/>
              <w:rPr>
                <w:rFonts w:hint="eastAsia" w:ascii="宋体"/>
                <w:color w:val="000000" w:themeColor="text1"/>
                <w14:textFill>
                  <w14:solidFill>
                    <w14:schemeClr w14:val="tx1"/>
                  </w14:solidFill>
                </w14:textFill>
              </w:rPr>
            </w:pPr>
          </w:p>
        </w:tc>
        <w:tc>
          <w:tcPr>
            <w:tcW w:w="1161" w:type="pct"/>
            <w:tcBorders>
              <w:top w:val="single" w:color="auto" w:sz="4" w:space="0"/>
              <w:left w:val="single" w:color="auto" w:sz="4" w:space="0"/>
              <w:bottom w:val="single" w:color="auto" w:sz="4" w:space="0"/>
              <w:right w:val="single" w:color="auto" w:sz="4" w:space="0"/>
              <w:tl2br w:val="nil"/>
              <w:tr2bl w:val="nil"/>
            </w:tcBorders>
            <w:vAlign w:val="center"/>
          </w:tcPr>
          <w:p w14:paraId="2DEF985A">
            <w:pPr>
              <w:snapToGrid w:val="0"/>
              <w:spacing w:line="360" w:lineRule="auto"/>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响应承诺函</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0566DAC7">
            <w:pPr>
              <w:snapToGrid w:val="0"/>
              <w:spacing w:line="360" w:lineRule="auto"/>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按磋商文件要求提交响应承诺函，内容完整，无重大错漏，按对应格式文件签署和盖章。</w:t>
            </w:r>
          </w:p>
        </w:tc>
      </w:tr>
      <w:tr w14:paraId="5E2BF35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45" w:hRule="atLeast"/>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1666C683">
            <w:pPr>
              <w:pStyle w:val="40"/>
              <w:numPr>
                <w:ilvl w:val="0"/>
                <w:numId w:val="18"/>
              </w:numPr>
              <w:spacing w:line="360" w:lineRule="auto"/>
              <w:ind w:left="0" w:firstLine="0"/>
              <w:jc w:val="center"/>
              <w:rPr>
                <w:rFonts w:hint="eastAsia" w:ascii="宋体"/>
                <w:color w:val="000000" w:themeColor="text1"/>
                <w14:textFill>
                  <w14:solidFill>
                    <w14:schemeClr w14:val="tx1"/>
                  </w14:solidFill>
                </w14:textFill>
              </w:rPr>
            </w:pPr>
          </w:p>
        </w:tc>
        <w:tc>
          <w:tcPr>
            <w:tcW w:w="1161" w:type="pct"/>
            <w:tcBorders>
              <w:top w:val="single" w:color="auto" w:sz="4" w:space="0"/>
              <w:left w:val="single" w:color="auto" w:sz="4" w:space="0"/>
              <w:bottom w:val="single" w:color="auto" w:sz="4" w:space="0"/>
              <w:right w:val="single" w:color="auto" w:sz="4" w:space="0"/>
              <w:tl2br w:val="nil"/>
              <w:tr2bl w:val="nil"/>
            </w:tcBorders>
            <w:vAlign w:val="center"/>
          </w:tcPr>
          <w:p w14:paraId="450742C1">
            <w:pPr>
              <w:snapToGrid w:val="0"/>
              <w:spacing w:line="360" w:lineRule="auto"/>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响应有效期</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3F1DD9AA">
            <w:pPr>
              <w:snapToGrid w:val="0"/>
              <w:spacing w:line="360" w:lineRule="auto"/>
              <w:rPr>
                <w:bCs/>
                <w:color w:val="000000" w:themeColor="text1"/>
                <w14:textFill>
                  <w14:solidFill>
                    <w14:schemeClr w14:val="tx1"/>
                  </w14:solidFill>
                </w14:textFill>
              </w:rPr>
            </w:pPr>
            <w:r>
              <w:rPr>
                <w:rFonts w:hint="eastAsia"/>
                <w:bCs/>
                <w:color w:val="000000" w:themeColor="text1"/>
                <w:kern w:val="0"/>
                <w14:textFill>
                  <w14:solidFill>
                    <w14:schemeClr w14:val="tx1"/>
                  </w14:solidFill>
                </w14:textFill>
              </w:rPr>
              <w:t>响应有效期不少于磋商文件中载明的响应有效期。</w:t>
            </w:r>
          </w:p>
        </w:tc>
      </w:tr>
      <w:tr w14:paraId="1AA54EF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545" w:hRule="atLeast"/>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02FA786C">
            <w:pPr>
              <w:pStyle w:val="40"/>
              <w:numPr>
                <w:ilvl w:val="0"/>
                <w:numId w:val="18"/>
              </w:numPr>
              <w:spacing w:line="360" w:lineRule="auto"/>
              <w:ind w:left="0" w:firstLine="0"/>
              <w:jc w:val="center"/>
              <w:rPr>
                <w:rFonts w:hint="eastAsia" w:ascii="宋体"/>
                <w:color w:val="000000" w:themeColor="text1"/>
                <w14:textFill>
                  <w14:solidFill>
                    <w14:schemeClr w14:val="tx1"/>
                  </w14:solidFill>
                </w14:textFill>
              </w:rPr>
            </w:pPr>
          </w:p>
        </w:tc>
        <w:tc>
          <w:tcPr>
            <w:tcW w:w="1161" w:type="pct"/>
            <w:tcBorders>
              <w:top w:val="single" w:color="auto" w:sz="4" w:space="0"/>
              <w:left w:val="single" w:color="auto" w:sz="4" w:space="0"/>
              <w:bottom w:val="single" w:color="auto" w:sz="4" w:space="0"/>
              <w:right w:val="single" w:color="auto" w:sz="4" w:space="0"/>
              <w:tl2br w:val="nil"/>
              <w:tr2bl w:val="nil"/>
            </w:tcBorders>
            <w:vAlign w:val="center"/>
          </w:tcPr>
          <w:p w14:paraId="560C0E58">
            <w:pPr>
              <w:snapToGrid w:val="0"/>
              <w:spacing w:line="360" w:lineRule="auto"/>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响应报价</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231526CC">
            <w:pPr>
              <w:snapToGrid w:val="0"/>
              <w:spacing w:line="360" w:lineRule="auto"/>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1.响应单价报价是固定价且是唯一的，未超过项目的相应项的单价最高限价。</w:t>
            </w:r>
            <w:bookmarkStart w:id="273" w:name="_GoBack"/>
            <w:bookmarkEnd w:id="273"/>
          </w:p>
          <w:p w14:paraId="0F17FAB3">
            <w:pPr>
              <w:snapToGrid w:val="0"/>
              <w:spacing w:line="360" w:lineRule="auto"/>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2.价格修正：若出现响应报价错误的，按磋商文件规定的价格修正原则处理，供应商按规定书面确认报价。</w:t>
            </w:r>
          </w:p>
          <w:p w14:paraId="13358170">
            <w:pPr>
              <w:snapToGrid w:val="0"/>
              <w:spacing w:line="360" w:lineRule="auto"/>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报价合理性：若磋商小组认为供应商的报价明显低于其他通过符合性审查供应商的报价，有可能影响施工质量或者不能诚信履约的，将要求其在评审现场合理的时间内提供书面说明，必要时提交相关证明材料；供应商应能证明其报价合理性。</w:t>
            </w:r>
          </w:p>
        </w:tc>
      </w:tr>
      <w:tr w14:paraId="72B474E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545" w:hRule="atLeast"/>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40DB627A">
            <w:pPr>
              <w:pStyle w:val="40"/>
              <w:numPr>
                <w:ilvl w:val="0"/>
                <w:numId w:val="18"/>
              </w:numPr>
              <w:spacing w:line="360" w:lineRule="auto"/>
              <w:ind w:left="0" w:firstLine="0"/>
              <w:jc w:val="center"/>
              <w:rPr>
                <w:rFonts w:hint="eastAsia" w:ascii="宋体"/>
                <w:color w:val="000000" w:themeColor="text1"/>
                <w14:textFill>
                  <w14:solidFill>
                    <w14:schemeClr w14:val="tx1"/>
                  </w14:solidFill>
                </w14:textFill>
              </w:rPr>
            </w:pPr>
          </w:p>
        </w:tc>
        <w:tc>
          <w:tcPr>
            <w:tcW w:w="1161" w:type="pct"/>
            <w:tcBorders>
              <w:top w:val="single" w:color="auto" w:sz="4" w:space="0"/>
              <w:left w:val="single" w:color="auto" w:sz="4" w:space="0"/>
              <w:bottom w:val="single" w:color="auto" w:sz="4" w:space="0"/>
              <w:right w:val="single" w:color="auto" w:sz="4" w:space="0"/>
              <w:tl2br w:val="nil"/>
              <w:tr2bl w:val="nil"/>
            </w:tcBorders>
            <w:vAlign w:val="center"/>
          </w:tcPr>
          <w:p w14:paraId="0FFE46B2">
            <w:pPr>
              <w:snapToGrid w:val="0"/>
              <w:spacing w:line="360" w:lineRule="auto"/>
              <w:jc w:val="center"/>
              <w:rPr>
                <w:bCs/>
                <w:color w:val="000000" w:themeColor="text1"/>
                <w14:textFill>
                  <w14:solidFill>
                    <w14:schemeClr w14:val="tx1"/>
                  </w14:solidFill>
                </w14:textFill>
              </w:rPr>
            </w:pPr>
            <w:bookmarkStart w:id="108" w:name="_Hlk69329880"/>
            <w:r>
              <w:rPr>
                <w:rFonts w:hint="eastAsia"/>
                <w:bCs/>
                <w:color w:val="000000" w:themeColor="text1"/>
                <w14:textFill>
                  <w14:solidFill>
                    <w14:schemeClr w14:val="tx1"/>
                  </w14:solidFill>
                </w14:textFill>
              </w:rPr>
              <w:t>法定代表人证明书和</w:t>
            </w:r>
            <w:bookmarkEnd w:id="108"/>
            <w:r>
              <w:rPr>
                <w:rFonts w:hint="eastAsia"/>
                <w:bCs/>
                <w:color w:val="000000" w:themeColor="text1"/>
                <w14:textFill>
                  <w14:solidFill>
                    <w14:schemeClr w14:val="tx1"/>
                  </w14:solidFill>
                </w14:textFill>
              </w:rPr>
              <w:t>法定代表人授权书</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67C2265A">
            <w:pPr>
              <w:snapToGrid w:val="0"/>
              <w:spacing w:line="360" w:lineRule="auto"/>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响应供应商提供的法定代表人证明书及法定代表人授权书原件，按格式要求签署并盖章；</w:t>
            </w:r>
            <w:r>
              <w:rPr>
                <w:rFonts w:hint="eastAsia"/>
                <w:color w:val="000000" w:themeColor="text1"/>
                <w14:textFill>
                  <w14:solidFill>
                    <w14:schemeClr w14:val="tx1"/>
                  </w14:solidFill>
                </w14:textFill>
              </w:rPr>
              <w:t>若法定代表人作为供应商代表参加响应，则只需提供法定代表人证明书</w:t>
            </w:r>
            <w:r>
              <w:rPr>
                <w:rFonts w:hint="eastAsia"/>
                <w:bCs/>
                <w:color w:val="000000" w:themeColor="text1"/>
                <w14:textFill>
                  <w14:solidFill>
                    <w14:schemeClr w14:val="tx1"/>
                  </w14:solidFill>
                </w14:textFill>
              </w:rPr>
              <w:t>。</w:t>
            </w:r>
          </w:p>
        </w:tc>
      </w:tr>
      <w:tr w14:paraId="040ADB98">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45" w:hRule="atLeast"/>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239B80D0">
            <w:pPr>
              <w:pStyle w:val="40"/>
              <w:numPr>
                <w:ilvl w:val="0"/>
                <w:numId w:val="18"/>
              </w:numPr>
              <w:spacing w:line="360" w:lineRule="auto"/>
              <w:ind w:left="0" w:firstLine="0"/>
              <w:jc w:val="center"/>
              <w:rPr>
                <w:rFonts w:hint="eastAsia" w:ascii="宋体"/>
                <w:color w:val="000000" w:themeColor="text1"/>
                <w14:textFill>
                  <w14:solidFill>
                    <w14:schemeClr w14:val="tx1"/>
                  </w14:solidFill>
                </w14:textFill>
              </w:rPr>
            </w:pPr>
          </w:p>
        </w:tc>
        <w:tc>
          <w:tcPr>
            <w:tcW w:w="1161" w:type="pct"/>
            <w:tcBorders>
              <w:top w:val="single" w:color="auto" w:sz="4" w:space="0"/>
              <w:left w:val="single" w:color="auto" w:sz="4" w:space="0"/>
              <w:bottom w:val="single" w:color="auto" w:sz="4" w:space="0"/>
              <w:right w:val="single" w:color="auto" w:sz="4" w:space="0"/>
              <w:tl2br w:val="nil"/>
              <w:tr2bl w:val="nil"/>
            </w:tcBorders>
            <w:vAlign w:val="center"/>
          </w:tcPr>
          <w:p w14:paraId="5BB91A29">
            <w:pPr>
              <w:snapToGrid w:val="0"/>
              <w:spacing w:line="360" w:lineRule="auto"/>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附加条件</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02ED0BAE">
            <w:pPr>
              <w:snapToGrid w:val="0"/>
              <w:spacing w:line="360" w:lineRule="auto"/>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响应文件中未含有采购人不能接受的附加条件。</w:t>
            </w:r>
          </w:p>
        </w:tc>
      </w:tr>
      <w:tr w14:paraId="7B137D3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545" w:hRule="atLeast"/>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4F630215">
            <w:pPr>
              <w:pStyle w:val="40"/>
              <w:numPr>
                <w:ilvl w:val="0"/>
                <w:numId w:val="18"/>
              </w:numPr>
              <w:spacing w:line="360" w:lineRule="auto"/>
              <w:ind w:left="0" w:firstLine="0"/>
              <w:jc w:val="center"/>
              <w:rPr>
                <w:rFonts w:hint="eastAsia" w:ascii="宋体"/>
                <w:color w:val="000000" w:themeColor="text1"/>
                <w14:textFill>
                  <w14:solidFill>
                    <w14:schemeClr w14:val="tx1"/>
                  </w14:solidFill>
                </w14:textFill>
              </w:rPr>
            </w:pPr>
          </w:p>
        </w:tc>
        <w:tc>
          <w:tcPr>
            <w:tcW w:w="1161" w:type="pct"/>
            <w:tcBorders>
              <w:top w:val="single" w:color="auto" w:sz="4" w:space="0"/>
              <w:left w:val="single" w:color="auto" w:sz="4" w:space="0"/>
              <w:bottom w:val="single" w:color="auto" w:sz="4" w:space="0"/>
              <w:right w:val="single" w:color="auto" w:sz="4" w:space="0"/>
              <w:tl2br w:val="nil"/>
              <w:tr2bl w:val="nil"/>
            </w:tcBorders>
            <w:vAlign w:val="center"/>
          </w:tcPr>
          <w:p w14:paraId="7D973F82">
            <w:pPr>
              <w:snapToGrid w:val="0"/>
              <w:spacing w:line="360" w:lineRule="auto"/>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响应文件签署、盖章</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39B094CD">
            <w:pPr>
              <w:snapToGrid w:val="0"/>
              <w:spacing w:line="360" w:lineRule="auto"/>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响应文件按照磋商文件要求签署、盖章。</w:t>
            </w:r>
          </w:p>
        </w:tc>
      </w:tr>
      <w:tr w14:paraId="658FA42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545" w:hRule="atLeast"/>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5E81FA6B">
            <w:pPr>
              <w:pStyle w:val="40"/>
              <w:numPr>
                <w:ilvl w:val="0"/>
                <w:numId w:val="18"/>
              </w:numPr>
              <w:spacing w:line="360" w:lineRule="auto"/>
              <w:ind w:left="0" w:firstLine="0"/>
              <w:jc w:val="center"/>
              <w:rPr>
                <w:rFonts w:hint="eastAsia" w:ascii="宋体"/>
                <w:color w:val="000000" w:themeColor="text1"/>
                <w14:textFill>
                  <w14:solidFill>
                    <w14:schemeClr w14:val="tx1"/>
                  </w14:solidFill>
                </w14:textFill>
              </w:rPr>
            </w:pPr>
          </w:p>
        </w:tc>
        <w:tc>
          <w:tcPr>
            <w:tcW w:w="1161" w:type="pct"/>
            <w:tcBorders>
              <w:top w:val="single" w:color="auto" w:sz="4" w:space="0"/>
              <w:left w:val="single" w:color="auto" w:sz="4" w:space="0"/>
              <w:bottom w:val="single" w:color="auto" w:sz="4" w:space="0"/>
              <w:right w:val="single" w:color="auto" w:sz="4" w:space="0"/>
              <w:tl2br w:val="nil"/>
              <w:tr2bl w:val="nil"/>
            </w:tcBorders>
            <w:vAlign w:val="center"/>
          </w:tcPr>
          <w:p w14:paraId="7795ED0B">
            <w:pPr>
              <w:snapToGrid w:val="0"/>
              <w:spacing w:line="360" w:lineRule="auto"/>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其他无效情形</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18580FD9">
            <w:pPr>
              <w:snapToGrid w:val="0"/>
              <w:spacing w:line="360" w:lineRule="auto"/>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响应文件中不存在有关法律、法规和规章及磋商文件规定的其他无效情形。</w:t>
            </w:r>
          </w:p>
        </w:tc>
      </w:tr>
      <w:tr w14:paraId="48B06FB1">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472" w:hRule="atLeast"/>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vAlign w:val="center"/>
          </w:tcPr>
          <w:p w14:paraId="11A74EA3">
            <w:pPr>
              <w:snapToGrid w:val="0"/>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结论</w:t>
            </w:r>
          </w:p>
        </w:tc>
      </w:tr>
      <w:tr w14:paraId="236435A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472" w:hRule="atLeast"/>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vAlign w:val="center"/>
          </w:tcPr>
          <w:p w14:paraId="2B683D3E">
            <w:pPr>
              <w:spacing w:line="360" w:lineRule="auto"/>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填表说明：</w:t>
            </w:r>
          </w:p>
          <w:p w14:paraId="14EFDF22">
            <w:pPr>
              <w:spacing w:line="360" w:lineRule="auto"/>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1.“通过”打“√”，“未通过”打“×”；</w:t>
            </w:r>
          </w:p>
          <w:p w14:paraId="70F9C894">
            <w:pPr>
              <w:spacing w:line="360" w:lineRule="auto"/>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2.在结论栏中填写“通过”或“未通过”；</w:t>
            </w:r>
          </w:p>
          <w:p w14:paraId="6815AB42">
            <w:pPr>
              <w:spacing w:line="360" w:lineRule="auto"/>
              <w:jc w:val="left"/>
              <w:rPr>
                <w:b/>
                <w:color w:val="000000" w:themeColor="text1"/>
                <w14:textFill>
                  <w14:solidFill>
                    <w14:schemeClr w14:val="tx1"/>
                  </w14:solidFill>
                </w14:textFill>
              </w:rPr>
            </w:pPr>
            <w:r>
              <w:rPr>
                <w:rFonts w:hint="eastAsia"/>
                <w:bCs/>
                <w:color w:val="000000" w:themeColor="text1"/>
                <w14:textFill>
                  <w14:solidFill>
                    <w14:schemeClr w14:val="tx1"/>
                  </w14:solidFill>
                </w14:textFill>
              </w:rPr>
              <w:t>3.供应商有一个“未通过”，审查结论视为“未通过”。</w:t>
            </w:r>
          </w:p>
        </w:tc>
      </w:tr>
    </w:tbl>
    <w:p w14:paraId="4B759F05">
      <w:pPr>
        <w:pStyle w:val="11"/>
        <w:spacing w:line="360" w:lineRule="auto"/>
        <w:ind w:firstLine="420" w:firstLineChars="200"/>
        <w:rPr>
          <w:color w:val="000000" w:themeColor="text1"/>
          <w14:textFill>
            <w14:solidFill>
              <w14:schemeClr w14:val="tx1"/>
            </w14:solidFill>
          </w14:textFill>
        </w:rPr>
      </w:pPr>
      <w:bookmarkStart w:id="109" w:name="_Toc70528437"/>
      <w:bookmarkEnd w:id="109"/>
      <w:bookmarkStart w:id="110" w:name="_Hlk45712320"/>
      <w:bookmarkEnd w:id="110"/>
      <w:bookmarkStart w:id="111" w:name="_Toc67046846"/>
      <w:bookmarkEnd w:id="111"/>
      <w:bookmarkStart w:id="112" w:name="_Toc276645572"/>
      <w:bookmarkEnd w:id="112"/>
      <w:bookmarkStart w:id="113" w:name="_Toc462677180"/>
      <w:bookmarkEnd w:id="113"/>
      <w:bookmarkStart w:id="114" w:name="_Toc76397748"/>
      <w:bookmarkEnd w:id="114"/>
      <w:bookmarkStart w:id="115" w:name="_Toc68789512"/>
      <w:bookmarkEnd w:id="115"/>
      <w:bookmarkStart w:id="116" w:name="_Toc496088680"/>
      <w:bookmarkEnd w:id="116"/>
    </w:p>
    <w:p w14:paraId="1D62BA0D">
      <w:pPr>
        <w:pStyle w:val="40"/>
        <w:numPr>
          <w:ilvl w:val="0"/>
          <w:numId w:val="16"/>
        </w:numPr>
        <w:spacing w:line="360" w:lineRule="auto"/>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响应文件澄清</w:t>
      </w:r>
    </w:p>
    <w:p w14:paraId="73F74557">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3.1对于响应文件中含义不明确、同类问题表述不一致或者有明显文字和计算错误的内容，磋商小组可在评审过程中发起澄清，要求供应商针对价格或内容做出必要的澄清、说明或补正。代理机构可根据开启环节记录的授权代表人联系方式发送短信提醒或电话告知，供应商需保持电话畅通。</w:t>
      </w:r>
    </w:p>
    <w:p w14:paraId="33E2BB23">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供应商需在规定时间内完成澄清（响应），并加盖供应商公章，或法定代表人签字或盖章，或法定代表人授权委托人签字或盖章。</w:t>
      </w:r>
    </w:p>
    <w:p w14:paraId="326AED1F">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若因供应商联系方式错误未接收短信、未接听电话或超时未进行澄清（响应）造成的不利后果由供应商自行承担。供应商的澄清、说明或者补正不得超出响应文件的范围或者改变响应文件的实质性内容。</w:t>
      </w:r>
    </w:p>
    <w:p w14:paraId="3EE79766">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3.2磋商小组不接受供应商主动提出的澄清、说明或补正。</w:t>
      </w:r>
    </w:p>
    <w:p w14:paraId="33BE8792">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3.3磋商小组对供应商提交的澄清、说明或补正有疑问的，可以要求供应商进一步澄清、说明或补正。</w:t>
      </w:r>
    </w:p>
    <w:p w14:paraId="69A6AB1C">
      <w:pPr>
        <w:pStyle w:val="40"/>
        <w:numPr>
          <w:ilvl w:val="0"/>
          <w:numId w:val="16"/>
        </w:numPr>
        <w:spacing w:line="360" w:lineRule="auto"/>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磋商</w:t>
      </w:r>
    </w:p>
    <w:p w14:paraId="61080BC3">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4.1磋商小组所有成员应当集中与单一供应商分别进行磋商，并给予所有参加磋商的供应商平等的磋商机会。</w:t>
      </w:r>
    </w:p>
    <w:p w14:paraId="0E08E408">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4.2在磋商过程中，磋商小组可以根据磋商文件和磋商情况实质性变动采购需求中的技术、服务要求以及合同草案条款，但不得变动磋商文件中的其他内容。实质性变动的内容，须经采购人代表确认。</w:t>
      </w:r>
    </w:p>
    <w:p w14:paraId="2002BDF6">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4.3对磋商文件作出的实质性变动是磋商文件的有效组成部分，磋商小组应当及时、同时通知所有参加磋商的供应商。</w:t>
      </w:r>
    </w:p>
    <w:p w14:paraId="06503498">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4.4供应商应当按照磋商文件的变动情况和磋商小组的要求进行最终报价或重新提交响应文件，并由其法定代表人或授权代表签字(或盖私章)或者加盖公章。</w:t>
      </w:r>
    </w:p>
    <w:p w14:paraId="5153D014">
      <w:pPr>
        <w:pStyle w:val="40"/>
        <w:numPr>
          <w:ilvl w:val="0"/>
          <w:numId w:val="16"/>
        </w:numPr>
        <w:spacing w:line="360" w:lineRule="auto"/>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最后报价</w:t>
      </w:r>
    </w:p>
    <w:p w14:paraId="4EE23340">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5.1磋商结束后，磋商小组应当要求所有实质性响应的供应商在规定时间内提交最后报价。最后报价是供应商响应文件的有效组成部分。</w:t>
      </w:r>
    </w:p>
    <w:p w14:paraId="7281DA9E">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5.2已提交响应文件的供应商，在提交最后报价之前，可以根据磋商情况退出磋商。</w:t>
      </w:r>
    </w:p>
    <w:p w14:paraId="0241655E">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5.3除法规规定的特殊性情形外，提交最后报价的供应商不得少于3家。</w:t>
      </w:r>
    </w:p>
    <w:p w14:paraId="7DF5D635">
      <w:pPr>
        <w:pStyle w:val="40"/>
        <w:numPr>
          <w:ilvl w:val="0"/>
          <w:numId w:val="16"/>
        </w:numPr>
        <w:spacing w:line="360" w:lineRule="auto"/>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详细评审</w:t>
      </w:r>
    </w:p>
    <w:p w14:paraId="19C5BF29">
      <w:pPr>
        <w:ind w:firstLine="422" w:firstLineChars="200"/>
        <w:jc w:val="left"/>
        <w:outlineLvl w:val="3"/>
        <w:rPr>
          <w:rFonts w:cs="Futura-Heavy"/>
          <w:b/>
          <w:bCs/>
          <w:color w:val="000000" w:themeColor="text1"/>
          <w:kern w:val="0"/>
          <w14:textFill>
            <w14:solidFill>
              <w14:schemeClr w14:val="tx1"/>
            </w14:solidFill>
          </w14:textFill>
        </w:rPr>
        <w:sectPr>
          <w:pgSz w:w="11906" w:h="16838"/>
          <w:pgMar w:top="1440" w:right="1080" w:bottom="1440" w:left="1080" w:header="426" w:footer="751" w:gutter="0"/>
          <w:cols w:space="720" w:num="1"/>
          <w:titlePg/>
          <w:docGrid w:type="lines" w:linePitch="312" w:charSpace="0"/>
        </w:sectPr>
      </w:pPr>
      <w:bookmarkStart w:id="117" w:name="_Toc67046848"/>
      <w:bookmarkEnd w:id="117"/>
      <w:bookmarkStart w:id="118" w:name="_Toc6322232"/>
      <w:bookmarkEnd w:id="118"/>
    </w:p>
    <w:p w14:paraId="7121E697">
      <w:pPr>
        <w:ind w:firstLine="422" w:firstLineChars="200"/>
        <w:jc w:val="left"/>
        <w:outlineLvl w:val="3"/>
        <w:rPr>
          <w:rFonts w:cs="Futura-Heavy"/>
          <w:b/>
          <w:bCs/>
          <w:color w:val="000000" w:themeColor="text1"/>
          <w:kern w:val="0"/>
          <w14:textFill>
            <w14:solidFill>
              <w14:schemeClr w14:val="tx1"/>
            </w14:solidFill>
          </w14:textFill>
        </w:rPr>
      </w:pPr>
      <w:r>
        <w:rPr>
          <w:rFonts w:hint="eastAsia" w:cs="Futura-Heavy"/>
          <w:b/>
          <w:bCs/>
          <w:color w:val="000000" w:themeColor="text1"/>
          <w:kern w:val="0"/>
          <w14:textFill>
            <w14:solidFill>
              <w14:schemeClr w14:val="tx1"/>
            </w14:solidFill>
          </w14:textFill>
        </w:rPr>
        <w:t>表三：商务评分细则表（1</w:t>
      </w:r>
      <w:r>
        <w:rPr>
          <w:rFonts w:cs="Futura-Heavy"/>
          <w:b/>
          <w:bCs/>
          <w:color w:val="000000" w:themeColor="text1"/>
          <w:kern w:val="0"/>
          <w14:textFill>
            <w14:solidFill>
              <w14:schemeClr w14:val="tx1"/>
            </w14:solidFill>
          </w14:textFill>
        </w:rPr>
        <w:t>0</w:t>
      </w:r>
      <w:r>
        <w:rPr>
          <w:rFonts w:hint="eastAsia" w:cs="Futura-Heavy"/>
          <w:b/>
          <w:bCs/>
          <w:color w:val="000000" w:themeColor="text1"/>
          <w:kern w:val="0"/>
          <w14:textFill>
            <w14:solidFill>
              <w14:schemeClr w14:val="tx1"/>
            </w14:solidFill>
          </w14:textFill>
        </w:rPr>
        <w:t>分）</w:t>
      </w:r>
    </w:p>
    <w:tbl>
      <w:tblPr>
        <w:tblStyle w:val="29"/>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652"/>
        <w:gridCol w:w="1677"/>
        <w:gridCol w:w="6784"/>
        <w:gridCol w:w="849"/>
      </w:tblGrid>
      <w:tr w14:paraId="29B31D1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10" w:hRule="atLeast"/>
          <w:jc w:val="center"/>
        </w:trPr>
        <w:tc>
          <w:tcPr>
            <w:tcW w:w="327" w:type="pct"/>
            <w:tcBorders>
              <w:top w:val="single" w:color="auto" w:sz="4" w:space="0"/>
              <w:left w:val="single" w:color="auto" w:sz="4" w:space="0"/>
              <w:bottom w:val="single" w:color="auto" w:sz="4" w:space="0"/>
              <w:right w:val="single" w:color="auto" w:sz="4" w:space="0"/>
              <w:tl2br w:val="nil"/>
              <w:tr2bl w:val="nil"/>
            </w:tcBorders>
            <w:vAlign w:val="center"/>
          </w:tcPr>
          <w:p w14:paraId="34FE4453">
            <w:pPr>
              <w:spacing w:line="276" w:lineRule="auto"/>
              <w:jc w:val="center"/>
              <w:rPr>
                <w:rFonts w:ascii="宋体" w:cs="宋体"/>
                <w:b/>
                <w:color w:val="000000" w:themeColor="text1"/>
                <w14:textFill>
                  <w14:solidFill>
                    <w14:schemeClr w14:val="tx1"/>
                  </w14:solidFill>
                </w14:textFill>
              </w:rPr>
            </w:pPr>
            <w:bookmarkStart w:id="119" w:name="_Hlk43300484"/>
            <w:r>
              <w:rPr>
                <w:rFonts w:hint="eastAsia" w:ascii="宋体" w:cs="宋体"/>
                <w:b/>
                <w:color w:val="000000" w:themeColor="text1"/>
                <w14:textFill>
                  <w14:solidFill>
                    <w14:schemeClr w14:val="tx1"/>
                  </w14:solidFill>
                </w14:textFill>
              </w:rPr>
              <w:t>序号</w:t>
            </w:r>
            <w:bookmarkEnd w:id="119"/>
          </w:p>
        </w:tc>
        <w:tc>
          <w:tcPr>
            <w:tcW w:w="841" w:type="pct"/>
            <w:tcBorders>
              <w:top w:val="single" w:color="auto" w:sz="4" w:space="0"/>
              <w:left w:val="single" w:color="auto" w:sz="4" w:space="0"/>
              <w:bottom w:val="single" w:color="auto" w:sz="4" w:space="0"/>
              <w:right w:val="single" w:color="auto" w:sz="4" w:space="0"/>
              <w:tl2br w:val="nil"/>
              <w:tr2bl w:val="nil"/>
            </w:tcBorders>
            <w:vAlign w:val="center"/>
          </w:tcPr>
          <w:p w14:paraId="1D108B05">
            <w:pPr>
              <w:spacing w:line="276" w:lineRule="auto"/>
              <w:jc w:val="center"/>
              <w:rPr>
                <w:rFonts w:ascii="宋体" w:cs="宋体"/>
                <w:b/>
                <w:color w:val="000000" w:themeColor="text1"/>
                <w14:textFill>
                  <w14:solidFill>
                    <w14:schemeClr w14:val="tx1"/>
                  </w14:solidFill>
                </w14:textFill>
              </w:rPr>
            </w:pPr>
            <w:r>
              <w:rPr>
                <w:rFonts w:hint="eastAsia" w:ascii="宋体" w:cs="宋体"/>
                <w:b/>
                <w:color w:val="000000" w:themeColor="text1"/>
                <w14:textFill>
                  <w14:solidFill>
                    <w14:schemeClr w14:val="tx1"/>
                  </w14:solidFill>
                </w14:textFill>
              </w:rPr>
              <w:t>评审因素</w:t>
            </w:r>
          </w:p>
        </w:tc>
        <w:tc>
          <w:tcPr>
            <w:tcW w:w="3403" w:type="pct"/>
            <w:tcBorders>
              <w:top w:val="single" w:color="auto" w:sz="4" w:space="0"/>
              <w:left w:val="single" w:color="auto" w:sz="4" w:space="0"/>
              <w:bottom w:val="single" w:color="auto" w:sz="4" w:space="0"/>
              <w:right w:val="single" w:color="auto" w:sz="4" w:space="0"/>
              <w:tl2br w:val="nil"/>
              <w:tr2bl w:val="nil"/>
            </w:tcBorders>
            <w:vAlign w:val="center"/>
          </w:tcPr>
          <w:p w14:paraId="1DC751BA">
            <w:pPr>
              <w:spacing w:line="276" w:lineRule="auto"/>
              <w:jc w:val="center"/>
              <w:rPr>
                <w:rFonts w:ascii="宋体" w:cs="宋体"/>
                <w:b/>
                <w:color w:val="000000" w:themeColor="text1"/>
                <w14:textFill>
                  <w14:solidFill>
                    <w14:schemeClr w14:val="tx1"/>
                  </w14:solidFill>
                </w14:textFill>
              </w:rPr>
            </w:pPr>
            <w:r>
              <w:rPr>
                <w:rFonts w:hint="eastAsia" w:ascii="宋体" w:cs="宋体"/>
                <w:b/>
                <w:color w:val="000000" w:themeColor="text1"/>
                <w14:textFill>
                  <w14:solidFill>
                    <w14:schemeClr w14:val="tx1"/>
                  </w14:solidFill>
                </w14:textFill>
              </w:rPr>
              <w:t>评审标准</w:t>
            </w:r>
          </w:p>
        </w:tc>
        <w:tc>
          <w:tcPr>
            <w:tcW w:w="426" w:type="pct"/>
            <w:tcBorders>
              <w:top w:val="single" w:color="auto" w:sz="4" w:space="0"/>
              <w:left w:val="single" w:color="auto" w:sz="4" w:space="0"/>
              <w:bottom w:val="single" w:color="auto" w:sz="4" w:space="0"/>
              <w:right w:val="single" w:color="auto" w:sz="4" w:space="0"/>
              <w:tl2br w:val="nil"/>
              <w:tr2bl w:val="nil"/>
            </w:tcBorders>
            <w:vAlign w:val="center"/>
          </w:tcPr>
          <w:p w14:paraId="3ACBD314">
            <w:pPr>
              <w:spacing w:line="276" w:lineRule="auto"/>
              <w:jc w:val="center"/>
              <w:rPr>
                <w:rFonts w:ascii="宋体" w:cs="宋体"/>
                <w:b/>
                <w:color w:val="000000" w:themeColor="text1"/>
                <w14:textFill>
                  <w14:solidFill>
                    <w14:schemeClr w14:val="tx1"/>
                  </w14:solidFill>
                </w14:textFill>
              </w:rPr>
            </w:pPr>
            <w:r>
              <w:rPr>
                <w:rFonts w:hint="eastAsia" w:ascii="宋体" w:cs="宋体"/>
                <w:b/>
                <w:color w:val="000000" w:themeColor="text1"/>
                <w14:textFill>
                  <w14:solidFill>
                    <w14:schemeClr w14:val="tx1"/>
                  </w14:solidFill>
                </w14:textFill>
              </w:rPr>
              <w:t>分值（分）</w:t>
            </w:r>
          </w:p>
        </w:tc>
      </w:tr>
      <w:tr w14:paraId="3627C81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1684" w:hRule="atLeast"/>
          <w:jc w:val="center"/>
        </w:trPr>
        <w:tc>
          <w:tcPr>
            <w:tcW w:w="327" w:type="pct"/>
            <w:tcBorders>
              <w:top w:val="single" w:color="auto" w:sz="4" w:space="0"/>
              <w:left w:val="single" w:color="auto" w:sz="4" w:space="0"/>
              <w:bottom w:val="single" w:color="auto" w:sz="4" w:space="0"/>
              <w:right w:val="single" w:color="auto" w:sz="4" w:space="0"/>
              <w:tl2br w:val="nil"/>
              <w:tr2bl w:val="nil"/>
            </w:tcBorders>
            <w:vAlign w:val="center"/>
          </w:tcPr>
          <w:p w14:paraId="04D6BB35">
            <w:pPr>
              <w:pStyle w:val="40"/>
              <w:numPr>
                <w:ilvl w:val="0"/>
                <w:numId w:val="19"/>
              </w:numPr>
              <w:spacing w:line="360" w:lineRule="auto"/>
              <w:jc w:val="center"/>
              <w:rPr>
                <w:rFonts w:hint="eastAsia" w:ascii="宋体" w:cs="宋体"/>
                <w:color w:val="000000" w:themeColor="text1"/>
                <w14:textFill>
                  <w14:solidFill>
                    <w14:schemeClr w14:val="tx1"/>
                  </w14:solidFill>
                </w14:textFill>
              </w:rPr>
            </w:pPr>
          </w:p>
        </w:tc>
        <w:tc>
          <w:tcPr>
            <w:tcW w:w="841" w:type="pct"/>
            <w:tcBorders>
              <w:top w:val="single" w:color="auto" w:sz="4" w:space="0"/>
              <w:left w:val="single" w:color="auto" w:sz="4" w:space="0"/>
              <w:bottom w:val="single" w:color="auto" w:sz="4" w:space="0"/>
              <w:right w:val="single" w:color="auto" w:sz="4" w:space="0"/>
              <w:tl2br w:val="nil"/>
              <w:tr2bl w:val="nil"/>
            </w:tcBorders>
            <w:vAlign w:val="center"/>
          </w:tcPr>
          <w:p w14:paraId="61E5A86F">
            <w:pPr>
              <w:spacing w:line="360" w:lineRule="auto"/>
              <w:jc w:val="center"/>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同类项目业绩</w:t>
            </w:r>
          </w:p>
        </w:tc>
        <w:tc>
          <w:tcPr>
            <w:tcW w:w="3403" w:type="pct"/>
            <w:tcBorders>
              <w:top w:val="single" w:color="auto" w:sz="4" w:space="0"/>
              <w:left w:val="single" w:color="auto" w:sz="4" w:space="0"/>
              <w:bottom w:val="single" w:color="auto" w:sz="4" w:space="0"/>
              <w:right w:val="single" w:color="auto" w:sz="4" w:space="0"/>
              <w:tl2br w:val="nil"/>
              <w:tr2bl w:val="nil"/>
            </w:tcBorders>
            <w:vAlign w:val="center"/>
          </w:tcPr>
          <w:p w14:paraId="42774D74">
            <w:pPr>
              <w:spacing w:line="360" w:lineRule="auto"/>
              <w:jc w:val="left"/>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供应商提供 2022年1月1日（以合同签订时间为准）至响应截止时间承接的同类项目业绩（同类项目是指：船舶委托保管服务）进行评分，每提供一个符合要求业绩的得1分，本项最高得5分；同一业主续签不重复计分。</w:t>
            </w:r>
          </w:p>
          <w:p w14:paraId="2CEF1888">
            <w:pPr>
              <w:spacing w:line="360" w:lineRule="auto"/>
              <w:jc w:val="left"/>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注：需提供合同关键页复印件（合同首页、服务内容页、盖章页、日期页），不提供或不按要求提供均不得分。</w:t>
            </w:r>
          </w:p>
        </w:tc>
        <w:tc>
          <w:tcPr>
            <w:tcW w:w="426" w:type="pct"/>
            <w:tcBorders>
              <w:top w:val="single" w:color="auto" w:sz="4" w:space="0"/>
              <w:left w:val="single" w:color="auto" w:sz="4" w:space="0"/>
              <w:bottom w:val="single" w:color="auto" w:sz="4" w:space="0"/>
              <w:right w:val="single" w:color="auto" w:sz="4" w:space="0"/>
              <w:tl2br w:val="nil"/>
              <w:tr2bl w:val="nil"/>
            </w:tcBorders>
            <w:vAlign w:val="center"/>
          </w:tcPr>
          <w:p w14:paraId="03062D62">
            <w:pPr>
              <w:spacing w:line="360" w:lineRule="auto"/>
              <w:jc w:val="center"/>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5</w:t>
            </w:r>
          </w:p>
        </w:tc>
      </w:tr>
      <w:tr w14:paraId="607621D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1684" w:hRule="atLeast"/>
          <w:jc w:val="center"/>
        </w:trPr>
        <w:tc>
          <w:tcPr>
            <w:tcW w:w="327" w:type="pct"/>
            <w:tcBorders>
              <w:top w:val="single" w:color="auto" w:sz="4" w:space="0"/>
              <w:left w:val="single" w:color="auto" w:sz="4" w:space="0"/>
              <w:bottom w:val="single" w:color="auto" w:sz="4" w:space="0"/>
              <w:right w:val="single" w:color="auto" w:sz="4" w:space="0"/>
              <w:tl2br w:val="nil"/>
              <w:tr2bl w:val="nil"/>
            </w:tcBorders>
            <w:vAlign w:val="center"/>
          </w:tcPr>
          <w:p w14:paraId="60645855">
            <w:pPr>
              <w:pStyle w:val="40"/>
              <w:numPr>
                <w:ilvl w:val="0"/>
                <w:numId w:val="19"/>
              </w:numPr>
              <w:spacing w:line="360" w:lineRule="auto"/>
              <w:jc w:val="center"/>
              <w:rPr>
                <w:rFonts w:hint="eastAsia" w:ascii="宋体" w:cs="宋体"/>
                <w:color w:val="000000" w:themeColor="text1"/>
                <w14:textFill>
                  <w14:solidFill>
                    <w14:schemeClr w14:val="tx1"/>
                  </w14:solidFill>
                </w14:textFill>
              </w:rPr>
            </w:pPr>
          </w:p>
        </w:tc>
        <w:tc>
          <w:tcPr>
            <w:tcW w:w="841" w:type="pct"/>
            <w:tcBorders>
              <w:top w:val="single" w:color="auto" w:sz="4" w:space="0"/>
              <w:left w:val="single" w:color="auto" w:sz="4" w:space="0"/>
              <w:bottom w:val="single" w:color="auto" w:sz="4" w:space="0"/>
              <w:right w:val="single" w:color="auto" w:sz="4" w:space="0"/>
              <w:tl2br w:val="nil"/>
              <w:tr2bl w:val="nil"/>
            </w:tcBorders>
            <w:vAlign w:val="center"/>
          </w:tcPr>
          <w:p w14:paraId="6E6D1F6C">
            <w:pPr>
              <w:spacing w:line="360" w:lineRule="auto"/>
              <w:jc w:val="center"/>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用户评价</w:t>
            </w:r>
          </w:p>
        </w:tc>
        <w:tc>
          <w:tcPr>
            <w:tcW w:w="3403" w:type="pct"/>
            <w:tcBorders>
              <w:top w:val="single" w:color="auto" w:sz="4" w:space="0"/>
              <w:left w:val="single" w:color="auto" w:sz="4" w:space="0"/>
              <w:bottom w:val="single" w:color="auto" w:sz="4" w:space="0"/>
              <w:right w:val="single" w:color="auto" w:sz="4" w:space="0"/>
              <w:tl2br w:val="nil"/>
              <w:tr2bl w:val="nil"/>
            </w:tcBorders>
            <w:vAlign w:val="center"/>
          </w:tcPr>
          <w:p w14:paraId="17B77A64">
            <w:pPr>
              <w:spacing w:line="360" w:lineRule="auto"/>
              <w:jc w:val="left"/>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响应供应商具有 2022年1月1日至响应截止时间的用户评价材料，每提供一份得1分；满分5分。</w:t>
            </w:r>
          </w:p>
          <w:p w14:paraId="34CE0B30">
            <w:pPr>
              <w:spacing w:line="360" w:lineRule="auto"/>
              <w:jc w:val="left"/>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注：（1）须提供用户评价材料复印件，评价材料必须达到90分或注明“满意”或“好评”或“优秀”等相关正面评价字眼；（2）评价材料必须与符合得分条件的同类项目业绩相对应，否则不得分。</w:t>
            </w:r>
          </w:p>
        </w:tc>
        <w:tc>
          <w:tcPr>
            <w:tcW w:w="426" w:type="pct"/>
            <w:tcBorders>
              <w:top w:val="single" w:color="auto" w:sz="4" w:space="0"/>
              <w:left w:val="single" w:color="auto" w:sz="4" w:space="0"/>
              <w:bottom w:val="single" w:color="auto" w:sz="4" w:space="0"/>
              <w:right w:val="single" w:color="auto" w:sz="4" w:space="0"/>
              <w:tl2br w:val="nil"/>
              <w:tr2bl w:val="nil"/>
            </w:tcBorders>
            <w:vAlign w:val="center"/>
          </w:tcPr>
          <w:p w14:paraId="742C9988">
            <w:pPr>
              <w:spacing w:line="360" w:lineRule="auto"/>
              <w:jc w:val="center"/>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5</w:t>
            </w:r>
          </w:p>
        </w:tc>
      </w:tr>
    </w:tbl>
    <w:p w14:paraId="0A064C81">
      <w:pPr>
        <w:ind w:firstLine="422" w:firstLineChars="200"/>
        <w:jc w:val="left"/>
        <w:outlineLvl w:val="3"/>
        <w:rPr>
          <w:rFonts w:cs="Futura-Heavy"/>
          <w:b/>
          <w:bCs/>
          <w:color w:val="000000" w:themeColor="text1"/>
          <w:kern w:val="0"/>
          <w14:textFill>
            <w14:solidFill>
              <w14:schemeClr w14:val="tx1"/>
            </w14:solidFill>
          </w14:textFill>
        </w:rPr>
      </w:pPr>
      <w:bookmarkStart w:id="120" w:name="_Toc67046847"/>
      <w:bookmarkEnd w:id="120"/>
      <w:bookmarkStart w:id="121" w:name="_Toc6322231"/>
    </w:p>
    <w:p w14:paraId="5F57F16A">
      <w:pPr>
        <w:ind w:firstLine="422" w:firstLineChars="200"/>
        <w:jc w:val="left"/>
        <w:outlineLvl w:val="3"/>
        <w:rPr>
          <w:rFonts w:cs="Futura-Heavy"/>
          <w:b/>
          <w:bCs/>
          <w:color w:val="000000" w:themeColor="text1"/>
          <w:kern w:val="0"/>
          <w14:textFill>
            <w14:solidFill>
              <w14:schemeClr w14:val="tx1"/>
            </w14:solidFill>
          </w14:textFill>
        </w:rPr>
      </w:pPr>
      <w:r>
        <w:rPr>
          <w:rFonts w:hint="eastAsia" w:cs="Futura-Heavy"/>
          <w:b/>
          <w:bCs/>
          <w:color w:val="000000" w:themeColor="text1"/>
          <w:kern w:val="0"/>
          <w14:textFill>
            <w14:solidFill>
              <w14:schemeClr w14:val="tx1"/>
            </w14:solidFill>
          </w14:textFill>
        </w:rPr>
        <w:t>表四：技术评分细则表（</w:t>
      </w:r>
      <w:r>
        <w:rPr>
          <w:rFonts w:cs="Futura-Heavy"/>
          <w:b/>
          <w:bCs/>
          <w:color w:val="000000" w:themeColor="text1"/>
          <w:kern w:val="0"/>
          <w14:textFill>
            <w14:solidFill>
              <w14:schemeClr w14:val="tx1"/>
            </w14:solidFill>
          </w14:textFill>
        </w:rPr>
        <w:t>60</w:t>
      </w:r>
      <w:r>
        <w:rPr>
          <w:rFonts w:hint="eastAsia" w:cs="Futura-Heavy"/>
          <w:b/>
          <w:bCs/>
          <w:color w:val="000000" w:themeColor="text1"/>
          <w:kern w:val="0"/>
          <w14:textFill>
            <w14:solidFill>
              <w14:schemeClr w14:val="tx1"/>
            </w14:solidFill>
          </w14:textFill>
        </w:rPr>
        <w:t>分）</w:t>
      </w:r>
      <w:bookmarkEnd w:id="121"/>
    </w:p>
    <w:tbl>
      <w:tblPr>
        <w:tblStyle w:val="29"/>
        <w:tblW w:w="4997"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726"/>
        <w:gridCol w:w="1596"/>
        <w:gridCol w:w="6773"/>
        <w:gridCol w:w="861"/>
      </w:tblGrid>
      <w:tr w14:paraId="0A77A14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769" w:hRule="atLeast"/>
          <w:jc w:val="center"/>
        </w:trPr>
        <w:tc>
          <w:tcPr>
            <w:tcW w:w="365" w:type="pct"/>
            <w:tcBorders>
              <w:top w:val="single" w:color="auto" w:sz="4" w:space="0"/>
              <w:left w:val="single" w:color="auto" w:sz="4" w:space="0"/>
              <w:bottom w:val="single" w:color="auto" w:sz="4" w:space="0"/>
              <w:right w:val="single" w:color="auto" w:sz="4" w:space="0"/>
              <w:tl2br w:val="nil"/>
              <w:tr2bl w:val="nil"/>
            </w:tcBorders>
            <w:vAlign w:val="center"/>
          </w:tcPr>
          <w:p w14:paraId="33D1C711">
            <w:pPr>
              <w:widowControl/>
              <w:jc w:val="center"/>
              <w:rPr>
                <w:rFonts w:ascii="宋体" w:cs="宋体"/>
                <w:b/>
                <w:color w:val="000000" w:themeColor="text1"/>
                <w:szCs w:val="21"/>
                <w14:textFill>
                  <w14:solidFill>
                    <w14:schemeClr w14:val="tx1"/>
                  </w14:solidFill>
                </w14:textFill>
              </w:rPr>
            </w:pPr>
            <w:r>
              <w:rPr>
                <w:rFonts w:hint="eastAsia" w:ascii="宋体" w:cs="宋体"/>
                <w:b/>
                <w:color w:val="000000" w:themeColor="text1"/>
                <w:szCs w:val="21"/>
                <w14:textFill>
                  <w14:solidFill>
                    <w14:schemeClr w14:val="tx1"/>
                  </w14:solidFill>
                </w14:textFill>
              </w:rPr>
              <w:t>序号</w:t>
            </w:r>
          </w:p>
        </w:tc>
        <w:tc>
          <w:tcPr>
            <w:tcW w:w="801" w:type="pct"/>
            <w:tcBorders>
              <w:top w:val="single" w:color="auto" w:sz="4" w:space="0"/>
              <w:left w:val="single" w:color="auto" w:sz="4" w:space="0"/>
              <w:bottom w:val="single" w:color="auto" w:sz="4" w:space="0"/>
              <w:right w:val="single" w:color="auto" w:sz="4" w:space="0"/>
              <w:tl2br w:val="nil"/>
              <w:tr2bl w:val="nil"/>
            </w:tcBorders>
            <w:vAlign w:val="center"/>
          </w:tcPr>
          <w:p w14:paraId="3008400C">
            <w:pPr>
              <w:widowControl/>
              <w:jc w:val="center"/>
              <w:rPr>
                <w:rFonts w:ascii="宋体" w:cs="宋体"/>
                <w:b/>
                <w:color w:val="000000" w:themeColor="text1"/>
                <w:szCs w:val="21"/>
                <w14:textFill>
                  <w14:solidFill>
                    <w14:schemeClr w14:val="tx1"/>
                  </w14:solidFill>
                </w14:textFill>
              </w:rPr>
            </w:pPr>
            <w:r>
              <w:rPr>
                <w:rFonts w:hint="eastAsia" w:ascii="宋体" w:cs="宋体"/>
                <w:b/>
                <w:color w:val="000000" w:themeColor="text1"/>
                <w:szCs w:val="21"/>
                <w14:textFill>
                  <w14:solidFill>
                    <w14:schemeClr w14:val="tx1"/>
                  </w14:solidFill>
                </w14:textFill>
              </w:rPr>
              <w:t>评审因素</w:t>
            </w:r>
          </w:p>
        </w:tc>
        <w:tc>
          <w:tcPr>
            <w:tcW w:w="3400" w:type="pct"/>
            <w:tcBorders>
              <w:top w:val="single" w:color="auto" w:sz="4" w:space="0"/>
              <w:left w:val="single" w:color="auto" w:sz="4" w:space="0"/>
              <w:bottom w:val="single" w:color="auto" w:sz="4" w:space="0"/>
              <w:right w:val="single" w:color="auto" w:sz="4" w:space="0"/>
              <w:tl2br w:val="nil"/>
              <w:tr2bl w:val="nil"/>
            </w:tcBorders>
            <w:vAlign w:val="center"/>
          </w:tcPr>
          <w:p w14:paraId="35DA46B4">
            <w:pPr>
              <w:widowControl/>
              <w:jc w:val="center"/>
              <w:rPr>
                <w:rFonts w:ascii="宋体" w:cs="宋体"/>
                <w:b/>
                <w:color w:val="000000" w:themeColor="text1"/>
                <w:szCs w:val="21"/>
                <w14:textFill>
                  <w14:solidFill>
                    <w14:schemeClr w14:val="tx1"/>
                  </w14:solidFill>
                </w14:textFill>
              </w:rPr>
            </w:pPr>
            <w:r>
              <w:rPr>
                <w:rFonts w:hint="eastAsia" w:ascii="宋体" w:cs="宋体"/>
                <w:b/>
                <w:color w:val="000000" w:themeColor="text1"/>
                <w:szCs w:val="21"/>
                <w14:textFill>
                  <w14:solidFill>
                    <w14:schemeClr w14:val="tx1"/>
                  </w14:solidFill>
                </w14:textFill>
              </w:rPr>
              <w:t>评审标准</w:t>
            </w:r>
          </w:p>
        </w:tc>
        <w:tc>
          <w:tcPr>
            <w:tcW w:w="432" w:type="pct"/>
            <w:tcBorders>
              <w:top w:val="single" w:color="auto" w:sz="4" w:space="0"/>
              <w:left w:val="single" w:color="auto" w:sz="4" w:space="0"/>
              <w:bottom w:val="single" w:color="auto" w:sz="4" w:space="0"/>
              <w:right w:val="single" w:color="auto" w:sz="4" w:space="0"/>
              <w:tl2br w:val="nil"/>
              <w:tr2bl w:val="nil"/>
            </w:tcBorders>
            <w:vAlign w:val="center"/>
          </w:tcPr>
          <w:p w14:paraId="1A3977B2">
            <w:pPr>
              <w:widowControl/>
              <w:jc w:val="center"/>
              <w:rPr>
                <w:rFonts w:ascii="宋体" w:cs="宋体"/>
                <w:b/>
                <w:color w:val="000000" w:themeColor="text1"/>
                <w:szCs w:val="21"/>
                <w14:textFill>
                  <w14:solidFill>
                    <w14:schemeClr w14:val="tx1"/>
                  </w14:solidFill>
                </w14:textFill>
              </w:rPr>
            </w:pPr>
            <w:r>
              <w:rPr>
                <w:rFonts w:hint="eastAsia" w:ascii="宋体" w:cs="宋体"/>
                <w:b/>
                <w:color w:val="000000" w:themeColor="text1"/>
                <w:szCs w:val="21"/>
                <w14:textFill>
                  <w14:solidFill>
                    <w14:schemeClr w14:val="tx1"/>
                  </w14:solidFill>
                </w14:textFill>
              </w:rPr>
              <w:t>分值（分）</w:t>
            </w:r>
          </w:p>
        </w:tc>
      </w:tr>
      <w:tr w14:paraId="095D853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16" w:hRule="atLeast"/>
          <w:jc w:val="center"/>
        </w:trPr>
        <w:tc>
          <w:tcPr>
            <w:tcW w:w="365" w:type="pct"/>
            <w:tcBorders>
              <w:top w:val="single" w:color="auto" w:sz="4" w:space="0"/>
              <w:left w:val="single" w:color="auto" w:sz="4" w:space="0"/>
              <w:bottom w:val="single" w:color="auto" w:sz="4" w:space="0"/>
              <w:right w:val="single" w:color="auto" w:sz="4" w:space="0"/>
              <w:tl2br w:val="nil"/>
              <w:tr2bl w:val="nil"/>
            </w:tcBorders>
            <w:vAlign w:val="center"/>
          </w:tcPr>
          <w:p w14:paraId="3C1DF48E">
            <w:pPr>
              <w:widowControl/>
              <w:spacing w:before="156" w:beforeLines="50" w:after="156" w:afterLines="50"/>
              <w:jc w:val="center"/>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1</w:t>
            </w:r>
          </w:p>
        </w:tc>
        <w:tc>
          <w:tcPr>
            <w:tcW w:w="801" w:type="pct"/>
            <w:tcBorders>
              <w:top w:val="single" w:color="auto" w:sz="4" w:space="0"/>
              <w:left w:val="single" w:color="auto" w:sz="4" w:space="0"/>
              <w:bottom w:val="single" w:color="auto" w:sz="4" w:space="0"/>
              <w:right w:val="single" w:color="auto" w:sz="4" w:space="0"/>
              <w:tl2br w:val="nil"/>
              <w:tr2bl w:val="nil"/>
            </w:tcBorders>
            <w:vAlign w:val="center"/>
          </w:tcPr>
          <w:p w14:paraId="0806FB23">
            <w:pPr>
              <w:widowControl/>
              <w:spacing w:line="360" w:lineRule="auto"/>
              <w:jc w:val="center"/>
              <w:rPr>
                <w:rFonts w:ascii="宋体" w:cs="宋体"/>
                <w:color w:val="000000" w:themeColor="text1"/>
                <w:kern w:val="0"/>
                <w:szCs w:val="21"/>
                <w14:textFill>
                  <w14:solidFill>
                    <w14:schemeClr w14:val="tx1"/>
                  </w14:solidFill>
                </w14:textFill>
              </w:rPr>
            </w:pPr>
            <w:r>
              <w:rPr>
                <w:rFonts w:hint="eastAsia" w:ascii="宋体" w:cs="宋体"/>
                <w:color w:val="000000" w:themeColor="text1"/>
                <w:szCs w:val="21"/>
                <w14:textFill>
                  <w14:solidFill>
                    <w14:schemeClr w14:val="tx1"/>
                  </w14:solidFill>
                </w14:textFill>
              </w:rPr>
              <w:t>采购需求响应情况</w:t>
            </w:r>
          </w:p>
        </w:tc>
        <w:tc>
          <w:tcPr>
            <w:tcW w:w="3400" w:type="pct"/>
            <w:tcBorders>
              <w:top w:val="single" w:color="auto" w:sz="4" w:space="0"/>
              <w:left w:val="single" w:color="auto" w:sz="4" w:space="0"/>
              <w:bottom w:val="single" w:color="auto" w:sz="4" w:space="0"/>
              <w:right w:val="single" w:color="auto" w:sz="4" w:space="0"/>
              <w:tl2br w:val="nil"/>
              <w:tr2bl w:val="nil"/>
            </w:tcBorders>
          </w:tcPr>
          <w:p w14:paraId="2266F19D">
            <w:pPr>
              <w:widowControl/>
              <w:spacing w:line="360" w:lineRule="auto"/>
              <w:ind w:right="59" w:rightChars="28"/>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响应供应商对“第二章 采购需求”中“二、技术要求”的“（二）服务要求、（三）服务内容”条款响应程度进行打分：每具有一条响应得0.5分，评审条款共30条（若有多级序号，以三级序号“（x）”条数统计），最高得15分。</w:t>
            </w:r>
          </w:p>
          <w:p w14:paraId="24CB6C63">
            <w:pPr>
              <w:widowControl/>
              <w:spacing w:line="360" w:lineRule="auto"/>
              <w:ind w:right="59" w:rightChars="28"/>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注：以供应商按“第六章 响应文件格式与要求”《技术条款响应表》填写的为准。</w:t>
            </w:r>
          </w:p>
        </w:tc>
        <w:tc>
          <w:tcPr>
            <w:tcW w:w="432" w:type="pct"/>
            <w:tcBorders>
              <w:top w:val="single" w:color="auto" w:sz="4" w:space="0"/>
              <w:left w:val="single" w:color="auto" w:sz="4" w:space="0"/>
              <w:bottom w:val="single" w:color="auto" w:sz="4" w:space="0"/>
              <w:right w:val="single" w:color="auto" w:sz="4" w:space="0"/>
              <w:tl2br w:val="nil"/>
              <w:tr2bl w:val="nil"/>
            </w:tcBorders>
            <w:vAlign w:val="center"/>
          </w:tcPr>
          <w:p w14:paraId="3B3B9082">
            <w:pPr>
              <w:widowControl/>
              <w:spacing w:line="276" w:lineRule="auto"/>
              <w:jc w:val="center"/>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15</w:t>
            </w:r>
          </w:p>
        </w:tc>
      </w:tr>
      <w:tr w14:paraId="6DDD2E2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16" w:hRule="atLeast"/>
          <w:jc w:val="center"/>
        </w:trPr>
        <w:tc>
          <w:tcPr>
            <w:tcW w:w="365" w:type="pct"/>
            <w:tcBorders>
              <w:top w:val="single" w:color="auto" w:sz="4" w:space="0"/>
              <w:left w:val="single" w:color="auto" w:sz="4" w:space="0"/>
              <w:bottom w:val="single" w:color="auto" w:sz="4" w:space="0"/>
              <w:right w:val="single" w:color="auto" w:sz="4" w:space="0"/>
              <w:tl2br w:val="nil"/>
              <w:tr2bl w:val="nil"/>
            </w:tcBorders>
            <w:vAlign w:val="center"/>
          </w:tcPr>
          <w:p w14:paraId="671193B3">
            <w:pPr>
              <w:widowControl/>
              <w:spacing w:before="156" w:beforeLines="50" w:after="156" w:afterLines="50"/>
              <w:jc w:val="center"/>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2</w:t>
            </w:r>
          </w:p>
        </w:tc>
        <w:tc>
          <w:tcPr>
            <w:tcW w:w="801" w:type="pct"/>
            <w:tcBorders>
              <w:top w:val="single" w:color="auto" w:sz="4" w:space="0"/>
              <w:left w:val="single" w:color="auto" w:sz="4" w:space="0"/>
              <w:bottom w:val="single" w:color="auto" w:sz="4" w:space="0"/>
              <w:right w:val="single" w:color="auto" w:sz="4" w:space="0"/>
              <w:tl2br w:val="nil"/>
              <w:tr2bl w:val="nil"/>
            </w:tcBorders>
            <w:vAlign w:val="center"/>
          </w:tcPr>
          <w:p w14:paraId="2A9C5BA5">
            <w:pPr>
              <w:widowControl/>
              <w:spacing w:line="360" w:lineRule="auto"/>
              <w:jc w:val="center"/>
              <w:rPr>
                <w:rFonts w:ascii="宋体" w:cs="宋体"/>
                <w:color w:val="000000" w:themeColor="text1"/>
                <w:kern w:val="0"/>
                <w:szCs w:val="21"/>
                <w14:textFill>
                  <w14:solidFill>
                    <w14:schemeClr w14:val="tx1"/>
                  </w14:solidFill>
                </w14:textFill>
              </w:rPr>
            </w:pPr>
            <w:r>
              <w:rPr>
                <w:rFonts w:hint="eastAsia" w:ascii="宋体" w:cs="宋体"/>
                <w:color w:val="000000" w:themeColor="text1"/>
                <w:szCs w:val="21"/>
                <w14:textFill>
                  <w14:solidFill>
                    <w14:schemeClr w14:val="tx1"/>
                  </w14:solidFill>
                </w14:textFill>
              </w:rPr>
              <w:t>项目实施方案</w:t>
            </w:r>
          </w:p>
        </w:tc>
        <w:tc>
          <w:tcPr>
            <w:tcW w:w="3400" w:type="pct"/>
            <w:tcBorders>
              <w:top w:val="single" w:color="auto" w:sz="4" w:space="0"/>
              <w:left w:val="single" w:color="auto" w:sz="4" w:space="0"/>
              <w:bottom w:val="single" w:color="auto" w:sz="4" w:space="0"/>
              <w:right w:val="single" w:color="auto" w:sz="4" w:space="0"/>
              <w:tl2br w:val="nil"/>
              <w:tr2bl w:val="nil"/>
            </w:tcBorders>
          </w:tcPr>
          <w:p w14:paraId="04EBF40F">
            <w:pPr>
              <w:widowControl/>
              <w:spacing w:line="360" w:lineRule="auto"/>
              <w:ind w:right="59" w:rightChars="28"/>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磋商小组根据响应供应商提供的实施方案（包括但不限于船舶停泊区域的规划；安全防护措施（如防撞、防火、防盗）；日常巡查制度）进行综合评分：</w:t>
            </w:r>
          </w:p>
          <w:p w14:paraId="5CEA620C">
            <w:pPr>
              <w:widowControl/>
              <w:spacing w:line="360" w:lineRule="auto"/>
              <w:ind w:right="59" w:rightChars="28"/>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1、项目实施方案对需求响应全面具体、针对项目全部重点难点全面剖析，能针对全部重点难点提出科学合理、可直接执行的实施方案，有效保障本项目实施，有利于实现服务效果，得15分；</w:t>
            </w:r>
          </w:p>
          <w:p w14:paraId="2BA7E191">
            <w:pPr>
              <w:widowControl/>
              <w:spacing w:line="360" w:lineRule="auto"/>
              <w:ind w:right="59" w:rightChars="28"/>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2、项目实施方案对需求响应全面具体，针对部分重点难点全面剖析，只针对部分重点难点提出科学合理，具备一定执行性的实施方案，能基本保障本项目服务实施，基本满足服务效果，得10分；</w:t>
            </w:r>
          </w:p>
          <w:p w14:paraId="1E1C4D8F">
            <w:pPr>
              <w:widowControl/>
              <w:spacing w:line="360" w:lineRule="auto"/>
              <w:ind w:right="59" w:rightChars="28"/>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3、项目实施方案对需求响应不全面，只针对部分重点难点剖析，提出方案合理性不足、针对性不强或难以执行的，无法保障本项目服务实施，达不到服务效果，得5分；</w:t>
            </w:r>
          </w:p>
          <w:p w14:paraId="08CEE074">
            <w:pPr>
              <w:widowControl/>
              <w:spacing w:line="360" w:lineRule="auto"/>
              <w:ind w:right="59" w:rightChars="28"/>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4、其他或未提供方案得0分。</w:t>
            </w:r>
          </w:p>
        </w:tc>
        <w:tc>
          <w:tcPr>
            <w:tcW w:w="432" w:type="pct"/>
            <w:tcBorders>
              <w:top w:val="single" w:color="auto" w:sz="4" w:space="0"/>
              <w:left w:val="single" w:color="auto" w:sz="4" w:space="0"/>
              <w:bottom w:val="single" w:color="auto" w:sz="4" w:space="0"/>
              <w:right w:val="single" w:color="auto" w:sz="4" w:space="0"/>
              <w:tl2br w:val="nil"/>
              <w:tr2bl w:val="nil"/>
            </w:tcBorders>
            <w:vAlign w:val="center"/>
          </w:tcPr>
          <w:p w14:paraId="3286EA8A">
            <w:pPr>
              <w:widowControl/>
              <w:spacing w:line="276" w:lineRule="auto"/>
              <w:jc w:val="center"/>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15</w:t>
            </w:r>
          </w:p>
        </w:tc>
      </w:tr>
      <w:tr w14:paraId="1A8ACF6F">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16" w:hRule="atLeast"/>
          <w:jc w:val="center"/>
        </w:trPr>
        <w:tc>
          <w:tcPr>
            <w:tcW w:w="365" w:type="pct"/>
            <w:tcBorders>
              <w:top w:val="single" w:color="auto" w:sz="4" w:space="0"/>
              <w:left w:val="single" w:color="auto" w:sz="4" w:space="0"/>
              <w:bottom w:val="single" w:color="auto" w:sz="4" w:space="0"/>
              <w:right w:val="single" w:color="auto" w:sz="4" w:space="0"/>
              <w:tl2br w:val="nil"/>
              <w:tr2bl w:val="nil"/>
            </w:tcBorders>
            <w:vAlign w:val="center"/>
          </w:tcPr>
          <w:p w14:paraId="5F082DED">
            <w:pPr>
              <w:widowControl/>
              <w:spacing w:before="156" w:beforeLines="50" w:after="156" w:afterLines="50"/>
              <w:jc w:val="center"/>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3</w:t>
            </w:r>
          </w:p>
        </w:tc>
        <w:tc>
          <w:tcPr>
            <w:tcW w:w="801" w:type="pct"/>
            <w:tcBorders>
              <w:top w:val="single" w:color="auto" w:sz="4" w:space="0"/>
              <w:left w:val="single" w:color="auto" w:sz="4" w:space="0"/>
              <w:bottom w:val="single" w:color="auto" w:sz="4" w:space="0"/>
              <w:right w:val="single" w:color="auto" w:sz="4" w:space="0"/>
              <w:tl2br w:val="nil"/>
              <w:tr2bl w:val="nil"/>
            </w:tcBorders>
            <w:vAlign w:val="center"/>
          </w:tcPr>
          <w:p w14:paraId="075D0102">
            <w:pPr>
              <w:widowControl/>
              <w:spacing w:line="360" w:lineRule="auto"/>
              <w:jc w:val="center"/>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应急方案</w:t>
            </w:r>
          </w:p>
        </w:tc>
        <w:tc>
          <w:tcPr>
            <w:tcW w:w="3400" w:type="pct"/>
            <w:tcBorders>
              <w:top w:val="single" w:color="auto" w:sz="4" w:space="0"/>
              <w:left w:val="single" w:color="auto" w:sz="4" w:space="0"/>
              <w:bottom w:val="single" w:color="auto" w:sz="4" w:space="0"/>
              <w:right w:val="single" w:color="auto" w:sz="4" w:space="0"/>
              <w:tl2br w:val="nil"/>
              <w:tr2bl w:val="nil"/>
            </w:tcBorders>
          </w:tcPr>
          <w:p w14:paraId="40257506">
            <w:pPr>
              <w:widowControl/>
              <w:spacing w:line="360" w:lineRule="auto"/>
              <w:ind w:right="59" w:rightChars="28"/>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磋商小组根据响应供应商提供应急方案（包括但不限于台风/泄漏专项预案（含撤离路线图），明确的撤离路线、处置流程和协作机制；应急物资储备（防污毯、堵漏器材、灭火设备等）种类、数量及完好率；设定故障响应、人员到位等关键环节的时限标准）进行综合评分：</w:t>
            </w:r>
          </w:p>
          <w:p w14:paraId="4170379A">
            <w:pPr>
              <w:widowControl/>
              <w:spacing w:line="360" w:lineRule="auto"/>
              <w:ind w:right="59" w:rightChars="28"/>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1、应急方案合理，可操作性、可行性高，有效保障本项目实施，有利于实现服务效果，得1</w:t>
            </w:r>
            <w:r>
              <w:rPr>
                <w:rFonts w:ascii="宋体" w:cs="宋体"/>
                <w:color w:val="000000" w:themeColor="text1"/>
                <w:szCs w:val="21"/>
                <w14:textFill>
                  <w14:solidFill>
                    <w14:schemeClr w14:val="tx1"/>
                  </w14:solidFill>
                </w14:textFill>
              </w:rPr>
              <w:t>5</w:t>
            </w:r>
            <w:r>
              <w:rPr>
                <w:rFonts w:hint="eastAsia" w:ascii="宋体" w:cs="宋体"/>
                <w:color w:val="000000" w:themeColor="text1"/>
                <w:szCs w:val="21"/>
                <w14:textFill>
                  <w14:solidFill>
                    <w14:schemeClr w14:val="tx1"/>
                  </w14:solidFill>
                </w14:textFill>
              </w:rPr>
              <w:t>分；</w:t>
            </w:r>
          </w:p>
          <w:p w14:paraId="5173D006">
            <w:pPr>
              <w:widowControl/>
              <w:spacing w:line="360" w:lineRule="auto"/>
              <w:ind w:right="59" w:rightChars="28"/>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2、应急方案一般、可操作性、可行性一般，有效保障本项目实施，有利于实现服务效果，得</w:t>
            </w:r>
            <w:r>
              <w:rPr>
                <w:rFonts w:ascii="宋体" w:cs="宋体"/>
                <w:color w:val="000000" w:themeColor="text1"/>
                <w:szCs w:val="21"/>
                <w14:textFill>
                  <w14:solidFill>
                    <w14:schemeClr w14:val="tx1"/>
                  </w14:solidFill>
                </w14:textFill>
              </w:rPr>
              <w:t>10</w:t>
            </w:r>
            <w:r>
              <w:rPr>
                <w:rFonts w:hint="eastAsia" w:ascii="宋体" w:cs="宋体"/>
                <w:color w:val="000000" w:themeColor="text1"/>
                <w:szCs w:val="21"/>
                <w14:textFill>
                  <w14:solidFill>
                    <w14:schemeClr w14:val="tx1"/>
                  </w14:solidFill>
                </w14:textFill>
              </w:rPr>
              <w:t>分；</w:t>
            </w:r>
          </w:p>
          <w:p w14:paraId="39AC3F0F">
            <w:pPr>
              <w:widowControl/>
              <w:spacing w:line="360" w:lineRule="auto"/>
              <w:ind w:right="59" w:rightChars="28"/>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3、应急方案的合理性差，可操作性、可行性较低，有效保障本项目实施，有利于实现服务效果，得</w:t>
            </w:r>
            <w:r>
              <w:rPr>
                <w:rFonts w:ascii="宋体" w:cs="宋体"/>
                <w:color w:val="000000" w:themeColor="text1"/>
                <w:szCs w:val="21"/>
                <w14:textFill>
                  <w14:solidFill>
                    <w14:schemeClr w14:val="tx1"/>
                  </w14:solidFill>
                </w14:textFill>
              </w:rPr>
              <w:t>5</w:t>
            </w:r>
            <w:r>
              <w:rPr>
                <w:rFonts w:hint="eastAsia" w:ascii="宋体" w:cs="宋体"/>
                <w:color w:val="000000" w:themeColor="text1"/>
                <w:szCs w:val="21"/>
                <w14:textFill>
                  <w14:solidFill>
                    <w14:schemeClr w14:val="tx1"/>
                  </w14:solidFill>
                </w14:textFill>
              </w:rPr>
              <w:t>分；</w:t>
            </w:r>
          </w:p>
          <w:p w14:paraId="15E8CD4D">
            <w:pPr>
              <w:widowControl/>
              <w:spacing w:line="360" w:lineRule="auto"/>
              <w:ind w:right="59" w:rightChars="28"/>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4、未提供相关方案得0分。</w:t>
            </w:r>
          </w:p>
        </w:tc>
        <w:tc>
          <w:tcPr>
            <w:tcW w:w="432" w:type="pct"/>
            <w:tcBorders>
              <w:top w:val="single" w:color="auto" w:sz="4" w:space="0"/>
              <w:left w:val="single" w:color="auto" w:sz="4" w:space="0"/>
              <w:bottom w:val="single" w:color="auto" w:sz="4" w:space="0"/>
              <w:right w:val="single" w:color="auto" w:sz="4" w:space="0"/>
              <w:tl2br w:val="nil"/>
              <w:tr2bl w:val="nil"/>
            </w:tcBorders>
            <w:vAlign w:val="center"/>
          </w:tcPr>
          <w:p w14:paraId="769CE96D">
            <w:pPr>
              <w:widowControl/>
              <w:spacing w:line="276" w:lineRule="auto"/>
              <w:jc w:val="center"/>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1</w:t>
            </w:r>
            <w:r>
              <w:rPr>
                <w:rFonts w:ascii="宋体" w:cs="宋体"/>
                <w:color w:val="000000" w:themeColor="text1"/>
                <w:szCs w:val="21"/>
                <w14:textFill>
                  <w14:solidFill>
                    <w14:schemeClr w14:val="tx1"/>
                  </w14:solidFill>
                </w14:textFill>
              </w:rPr>
              <w:t>5</w:t>
            </w:r>
          </w:p>
        </w:tc>
      </w:tr>
      <w:tr w14:paraId="26EF783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16" w:hRule="atLeast"/>
          <w:jc w:val="center"/>
        </w:trPr>
        <w:tc>
          <w:tcPr>
            <w:tcW w:w="365" w:type="pct"/>
            <w:tcBorders>
              <w:top w:val="single" w:color="auto" w:sz="4" w:space="0"/>
              <w:left w:val="single" w:color="auto" w:sz="4" w:space="0"/>
              <w:bottom w:val="single" w:color="auto" w:sz="4" w:space="0"/>
              <w:right w:val="single" w:color="auto" w:sz="4" w:space="0"/>
              <w:tl2br w:val="nil"/>
              <w:tr2bl w:val="nil"/>
            </w:tcBorders>
            <w:vAlign w:val="center"/>
          </w:tcPr>
          <w:p w14:paraId="69D7A176">
            <w:pPr>
              <w:widowControl/>
              <w:spacing w:before="156" w:beforeLines="50" w:after="156" w:afterLines="50"/>
              <w:jc w:val="center"/>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4</w:t>
            </w:r>
          </w:p>
        </w:tc>
        <w:tc>
          <w:tcPr>
            <w:tcW w:w="801" w:type="pct"/>
            <w:tcBorders>
              <w:top w:val="single" w:color="auto" w:sz="4" w:space="0"/>
              <w:left w:val="single" w:color="auto" w:sz="4" w:space="0"/>
              <w:bottom w:val="single" w:color="auto" w:sz="4" w:space="0"/>
              <w:right w:val="single" w:color="auto" w:sz="4" w:space="0"/>
              <w:tl2br w:val="nil"/>
              <w:tr2bl w:val="nil"/>
            </w:tcBorders>
            <w:vAlign w:val="center"/>
          </w:tcPr>
          <w:p w14:paraId="1177B266">
            <w:pPr>
              <w:autoSpaceDE w:val="0"/>
              <w:autoSpaceDN w:val="0"/>
              <w:spacing w:line="360" w:lineRule="auto"/>
              <w:jc w:val="center"/>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管理制度</w:t>
            </w:r>
          </w:p>
        </w:tc>
        <w:tc>
          <w:tcPr>
            <w:tcW w:w="3400" w:type="pct"/>
            <w:tcBorders>
              <w:top w:val="single" w:color="auto" w:sz="4" w:space="0"/>
              <w:left w:val="single" w:color="auto" w:sz="4" w:space="0"/>
              <w:bottom w:val="single" w:color="auto" w:sz="4" w:space="0"/>
              <w:right w:val="single" w:color="auto" w:sz="4" w:space="0"/>
              <w:tl2br w:val="nil"/>
              <w:tr2bl w:val="nil"/>
            </w:tcBorders>
          </w:tcPr>
          <w:p w14:paraId="52C230A0">
            <w:pPr>
              <w:widowControl/>
              <w:spacing w:line="360" w:lineRule="auto"/>
              <w:rPr>
                <w:rFonts w:ascii="宋体" w:cs="宋体"/>
                <w:color w:val="000000" w:themeColor="text1"/>
                <w:kern w:val="0"/>
                <w:szCs w:val="21"/>
                <w14:textFill>
                  <w14:solidFill>
                    <w14:schemeClr w14:val="tx1"/>
                  </w14:solidFill>
                </w14:textFill>
              </w:rPr>
            </w:pPr>
            <w:r>
              <w:rPr>
                <w:rFonts w:hint="eastAsia" w:ascii="宋体" w:cs="宋体"/>
                <w:color w:val="000000" w:themeColor="text1"/>
                <w:szCs w:val="21"/>
                <w14:textFill>
                  <w14:solidFill>
                    <w14:schemeClr w14:val="tx1"/>
                  </w14:solidFill>
                </w14:textFill>
              </w:rPr>
              <w:t>磋商小组根据响应供应商</w:t>
            </w:r>
            <w:r>
              <w:rPr>
                <w:rFonts w:hint="eastAsia" w:ascii="宋体" w:cs="宋体"/>
                <w:color w:val="000000" w:themeColor="text1"/>
                <w:kern w:val="0"/>
                <w:szCs w:val="21"/>
                <w14:textFill>
                  <w14:solidFill>
                    <w14:schemeClr w14:val="tx1"/>
                  </w14:solidFill>
                </w14:textFill>
              </w:rPr>
              <w:t>提供管理制度（包括但不限于船舶出入库与登记制度；船舶档案管理制度；人员管理制度；安全管理制度；投诉处理流程与监督制度）进行综合评分：</w:t>
            </w:r>
          </w:p>
          <w:p w14:paraId="62AEA5A1">
            <w:pPr>
              <w:widowControl/>
              <w:spacing w:line="360" w:lineRule="auto"/>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1、管理制度合理，可操作性、可行性高，有效保障本项目实施，有利于实现服务效果，得15分；</w:t>
            </w:r>
          </w:p>
          <w:p w14:paraId="7FFF6923">
            <w:pPr>
              <w:widowControl/>
              <w:spacing w:line="360" w:lineRule="auto"/>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2、管理制度较为合理，可操作性、可行性良好，有效保障本项目实施，有利于实现服务效果，得10分；</w:t>
            </w:r>
          </w:p>
          <w:p w14:paraId="1BC8194D">
            <w:pPr>
              <w:widowControl/>
              <w:spacing w:line="360" w:lineRule="auto"/>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3、管理制度一般、可操作性、可行性一般，有效保障本项目实施，有利于实现服务效果，得5分；</w:t>
            </w:r>
          </w:p>
          <w:p w14:paraId="3AEDF570">
            <w:pPr>
              <w:widowControl/>
              <w:spacing w:line="360" w:lineRule="auto"/>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4、未提供相关方案得0分。</w:t>
            </w:r>
          </w:p>
        </w:tc>
        <w:tc>
          <w:tcPr>
            <w:tcW w:w="432" w:type="pct"/>
            <w:tcBorders>
              <w:top w:val="single" w:color="auto" w:sz="4" w:space="0"/>
              <w:left w:val="single" w:color="auto" w:sz="4" w:space="0"/>
              <w:bottom w:val="single" w:color="auto" w:sz="4" w:space="0"/>
              <w:right w:val="single" w:color="auto" w:sz="4" w:space="0"/>
              <w:tl2br w:val="nil"/>
              <w:tr2bl w:val="nil"/>
            </w:tcBorders>
            <w:vAlign w:val="center"/>
          </w:tcPr>
          <w:p w14:paraId="2E6C358D">
            <w:pPr>
              <w:widowControl/>
              <w:spacing w:line="276" w:lineRule="auto"/>
              <w:jc w:val="center"/>
              <w:rPr>
                <w:rFonts w:ascii="宋体" w:cs="宋体"/>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15</w:t>
            </w:r>
          </w:p>
        </w:tc>
      </w:tr>
    </w:tbl>
    <w:p w14:paraId="34C517A2">
      <w:pPr>
        <w:ind w:firstLine="422" w:firstLineChars="200"/>
        <w:jc w:val="left"/>
        <w:outlineLvl w:val="3"/>
        <w:rPr>
          <w:rFonts w:cs="Futura-Heavy"/>
          <w:b/>
          <w:bCs/>
          <w:color w:val="000000" w:themeColor="text1"/>
          <w:kern w:val="0"/>
          <w14:textFill>
            <w14:solidFill>
              <w14:schemeClr w14:val="tx1"/>
            </w14:solidFill>
          </w14:textFill>
        </w:rPr>
      </w:pPr>
      <w:bookmarkStart w:id="122" w:name="_Toc67046849"/>
      <w:bookmarkEnd w:id="122"/>
    </w:p>
    <w:p w14:paraId="67D69086">
      <w:pPr>
        <w:ind w:firstLine="422" w:firstLineChars="200"/>
        <w:jc w:val="left"/>
        <w:outlineLvl w:val="3"/>
        <w:rPr>
          <w:rFonts w:cs="Futura-Heavy"/>
          <w:b/>
          <w:bCs/>
          <w:color w:val="000000" w:themeColor="text1"/>
          <w:kern w:val="0"/>
          <w14:textFill>
            <w14:solidFill>
              <w14:schemeClr w14:val="tx1"/>
            </w14:solidFill>
          </w14:textFill>
        </w:rPr>
      </w:pPr>
      <w:r>
        <w:rPr>
          <w:rFonts w:hint="eastAsia" w:cs="Futura-Heavy"/>
          <w:b/>
          <w:bCs/>
          <w:color w:val="000000" w:themeColor="text1"/>
          <w:kern w:val="0"/>
          <w14:textFill>
            <w14:solidFill>
              <w14:schemeClr w14:val="tx1"/>
            </w14:solidFill>
          </w14:textFill>
        </w:rPr>
        <w:t>表五：价格评分细则表（30分）</w:t>
      </w:r>
    </w:p>
    <w:tbl>
      <w:tblPr>
        <w:tblStyle w:val="29"/>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653"/>
        <w:gridCol w:w="1677"/>
        <w:gridCol w:w="6782"/>
        <w:gridCol w:w="850"/>
      </w:tblGrid>
      <w:tr w14:paraId="04D196C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78" w:hRule="atLeast"/>
          <w:jc w:val="center"/>
        </w:trPr>
        <w:tc>
          <w:tcPr>
            <w:tcW w:w="339" w:type="pct"/>
            <w:tcBorders>
              <w:top w:val="single" w:color="auto" w:sz="4" w:space="0"/>
              <w:left w:val="single" w:color="auto" w:sz="4" w:space="0"/>
              <w:bottom w:val="single" w:color="auto" w:sz="4" w:space="0"/>
              <w:right w:val="single" w:color="auto" w:sz="4" w:space="0"/>
              <w:tl2br w:val="nil"/>
              <w:tr2bl w:val="nil"/>
            </w:tcBorders>
            <w:vAlign w:val="center"/>
          </w:tcPr>
          <w:p w14:paraId="3969F0F8">
            <w:pPr>
              <w:spacing w:before="156" w:beforeLines="50" w:after="156" w:afterLines="50" w:line="360" w:lineRule="auto"/>
              <w:jc w:val="center"/>
              <w:rPr>
                <w:rFonts w:ascii="宋体" w:cs="宋体"/>
                <w:b/>
                <w:bCs/>
                <w:color w:val="000000" w:themeColor="text1"/>
                <w14:textFill>
                  <w14:solidFill>
                    <w14:schemeClr w14:val="tx1"/>
                  </w14:solidFill>
                </w14:textFill>
              </w:rPr>
            </w:pPr>
            <w:r>
              <w:rPr>
                <w:rFonts w:hint="eastAsia" w:ascii="宋体" w:cs="宋体"/>
                <w:b/>
                <w:bCs/>
                <w:color w:val="000000" w:themeColor="text1"/>
                <w14:textFill>
                  <w14:solidFill>
                    <w14:schemeClr w14:val="tx1"/>
                  </w14:solidFill>
                </w14:textFill>
              </w:rPr>
              <w:t>序号</w:t>
            </w:r>
          </w:p>
        </w:tc>
        <w:tc>
          <w:tcPr>
            <w:tcW w:w="853" w:type="pct"/>
            <w:tcBorders>
              <w:top w:val="single" w:color="auto" w:sz="4" w:space="0"/>
              <w:left w:val="single" w:color="auto" w:sz="4" w:space="0"/>
              <w:bottom w:val="single" w:color="auto" w:sz="4" w:space="0"/>
              <w:right w:val="single" w:color="auto" w:sz="4" w:space="0"/>
              <w:tl2br w:val="nil"/>
              <w:tr2bl w:val="nil"/>
            </w:tcBorders>
            <w:vAlign w:val="center"/>
          </w:tcPr>
          <w:p w14:paraId="79EFC9C4">
            <w:pPr>
              <w:spacing w:before="156" w:beforeLines="50" w:after="156" w:afterLines="50" w:line="360" w:lineRule="auto"/>
              <w:jc w:val="center"/>
              <w:rPr>
                <w:rFonts w:ascii="宋体" w:cs="宋体"/>
                <w:b/>
                <w:color w:val="000000" w:themeColor="text1"/>
                <w14:textFill>
                  <w14:solidFill>
                    <w14:schemeClr w14:val="tx1"/>
                  </w14:solidFill>
                </w14:textFill>
              </w:rPr>
            </w:pPr>
            <w:r>
              <w:rPr>
                <w:rFonts w:hint="eastAsia" w:ascii="宋体" w:cs="宋体"/>
                <w:b/>
                <w:color w:val="000000" w:themeColor="text1"/>
                <w14:textFill>
                  <w14:solidFill>
                    <w14:schemeClr w14:val="tx1"/>
                  </w14:solidFill>
                </w14:textFill>
              </w:rPr>
              <w:t>评审因素</w:t>
            </w:r>
          </w:p>
        </w:tc>
        <w:tc>
          <w:tcPr>
            <w:tcW w:w="3415" w:type="pct"/>
            <w:tcBorders>
              <w:top w:val="single" w:color="auto" w:sz="4" w:space="0"/>
              <w:left w:val="single" w:color="auto" w:sz="4" w:space="0"/>
              <w:bottom w:val="single" w:color="auto" w:sz="4" w:space="0"/>
              <w:right w:val="single" w:color="auto" w:sz="4" w:space="0"/>
              <w:tl2br w:val="nil"/>
              <w:tr2bl w:val="nil"/>
            </w:tcBorders>
            <w:vAlign w:val="center"/>
          </w:tcPr>
          <w:p w14:paraId="4F2621DF">
            <w:pPr>
              <w:spacing w:before="156" w:beforeLines="50" w:after="156" w:afterLines="50" w:line="360" w:lineRule="auto"/>
              <w:jc w:val="center"/>
              <w:rPr>
                <w:rFonts w:ascii="宋体" w:cs="宋体"/>
                <w:b/>
                <w:color w:val="000000" w:themeColor="text1"/>
                <w14:textFill>
                  <w14:solidFill>
                    <w14:schemeClr w14:val="tx1"/>
                  </w14:solidFill>
                </w14:textFill>
              </w:rPr>
            </w:pPr>
            <w:r>
              <w:rPr>
                <w:rFonts w:hint="eastAsia" w:ascii="宋体" w:cs="宋体"/>
                <w:b/>
                <w:color w:val="000000" w:themeColor="text1"/>
                <w14:textFill>
                  <w14:solidFill>
                    <w14:schemeClr w14:val="tx1"/>
                  </w14:solidFill>
                </w14:textFill>
              </w:rPr>
              <w:t>评审标准</w:t>
            </w:r>
          </w:p>
        </w:tc>
        <w:tc>
          <w:tcPr>
            <w:tcW w:w="392" w:type="pct"/>
            <w:tcBorders>
              <w:top w:val="single" w:color="auto" w:sz="4" w:space="0"/>
              <w:left w:val="single" w:color="auto" w:sz="4" w:space="0"/>
              <w:bottom w:val="single" w:color="auto" w:sz="4" w:space="0"/>
              <w:right w:val="single" w:color="auto" w:sz="4" w:space="0"/>
              <w:tl2br w:val="nil"/>
              <w:tr2bl w:val="nil"/>
            </w:tcBorders>
            <w:vAlign w:val="center"/>
          </w:tcPr>
          <w:p w14:paraId="1C4FE285">
            <w:pPr>
              <w:spacing w:before="156" w:beforeLines="50" w:after="156" w:afterLines="50" w:line="360" w:lineRule="auto"/>
              <w:jc w:val="center"/>
              <w:rPr>
                <w:rFonts w:ascii="宋体" w:cs="宋体"/>
                <w:color w:val="000000" w:themeColor="text1"/>
                <w14:textFill>
                  <w14:solidFill>
                    <w14:schemeClr w14:val="tx1"/>
                  </w14:solidFill>
                </w14:textFill>
              </w:rPr>
            </w:pPr>
            <w:r>
              <w:rPr>
                <w:rFonts w:hint="eastAsia" w:ascii="宋体" w:cs="宋体"/>
                <w:b/>
                <w:bCs/>
                <w:color w:val="000000" w:themeColor="text1"/>
                <w14:textFill>
                  <w14:solidFill>
                    <w14:schemeClr w14:val="tx1"/>
                  </w14:solidFill>
                </w14:textFill>
              </w:rPr>
              <w:t>分值（分）</w:t>
            </w:r>
          </w:p>
        </w:tc>
      </w:tr>
      <w:tr w14:paraId="079CA62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8" w:hRule="atLeast"/>
          <w:jc w:val="center"/>
        </w:trPr>
        <w:tc>
          <w:tcPr>
            <w:tcW w:w="339" w:type="pct"/>
            <w:tcBorders>
              <w:top w:val="single" w:color="auto" w:sz="4" w:space="0"/>
              <w:left w:val="single" w:color="auto" w:sz="4" w:space="0"/>
              <w:bottom w:val="single" w:color="auto" w:sz="4" w:space="0"/>
              <w:right w:val="single" w:color="auto" w:sz="4" w:space="0"/>
              <w:tl2br w:val="nil"/>
              <w:tr2bl w:val="nil"/>
            </w:tcBorders>
            <w:vAlign w:val="center"/>
          </w:tcPr>
          <w:p w14:paraId="04A4AC5A">
            <w:pPr>
              <w:spacing w:before="156" w:beforeLines="50" w:after="156" w:afterLines="50" w:line="360" w:lineRule="auto"/>
              <w:jc w:val="center"/>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1</w:t>
            </w:r>
          </w:p>
        </w:tc>
        <w:tc>
          <w:tcPr>
            <w:tcW w:w="853" w:type="pct"/>
            <w:tcBorders>
              <w:top w:val="single" w:color="auto" w:sz="4" w:space="0"/>
              <w:left w:val="single" w:color="auto" w:sz="4" w:space="0"/>
              <w:bottom w:val="single" w:color="auto" w:sz="4" w:space="0"/>
              <w:right w:val="single" w:color="auto" w:sz="4" w:space="0"/>
              <w:tl2br w:val="nil"/>
              <w:tr2bl w:val="nil"/>
            </w:tcBorders>
            <w:vAlign w:val="center"/>
          </w:tcPr>
          <w:p w14:paraId="62757509">
            <w:pPr>
              <w:spacing w:before="156" w:beforeLines="50" w:after="156" w:afterLines="50" w:line="360" w:lineRule="auto"/>
              <w:jc w:val="center"/>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价格</w:t>
            </w:r>
          </w:p>
        </w:tc>
        <w:tc>
          <w:tcPr>
            <w:tcW w:w="3415" w:type="pct"/>
            <w:tcBorders>
              <w:top w:val="single" w:color="auto" w:sz="4" w:space="0"/>
              <w:left w:val="single" w:color="auto" w:sz="4" w:space="0"/>
              <w:bottom w:val="single" w:color="auto" w:sz="4" w:space="0"/>
              <w:right w:val="single" w:color="auto" w:sz="4" w:space="0"/>
              <w:tl2br w:val="nil"/>
              <w:tr2bl w:val="nil"/>
            </w:tcBorders>
            <w:vAlign w:val="center"/>
          </w:tcPr>
          <w:p w14:paraId="1D0DCA24">
            <w:pPr>
              <w:spacing w:before="156" w:beforeLines="50" w:after="156" w:afterLines="50" w:line="360" w:lineRule="auto"/>
              <w:jc w:val="left"/>
              <w:rPr>
                <w:rFonts w:ascii="宋体" w:cs="宋体"/>
                <w:bCs/>
                <w:color w:val="000000" w:themeColor="text1"/>
                <w14:textFill>
                  <w14:solidFill>
                    <w14:schemeClr w14:val="tx1"/>
                  </w14:solidFill>
                </w14:textFill>
              </w:rPr>
            </w:pPr>
            <w:r>
              <w:rPr>
                <w:rFonts w:hint="eastAsia" w:ascii="宋体" w:cs="宋体"/>
                <w:bCs/>
                <w:color w:val="000000" w:themeColor="text1"/>
                <w14:textFill>
                  <w14:solidFill>
                    <w14:schemeClr w14:val="tx1"/>
                  </w14:solidFill>
                </w14:textFill>
              </w:rPr>
              <w:t>投标（响应）报价得分＝（评审基准价/最终响应报价）×30【注：满足磋商文件要求且最终响应价格最低的响应报价为评审基准价。】最低报价不是成交的唯一依据。因落实政府采购政策进行价格调整的，以调整后的价格计算评审基准价和最终响应报价。</w:t>
            </w:r>
          </w:p>
          <w:p w14:paraId="15B20A72">
            <w:pPr>
              <w:spacing w:before="156" w:beforeLines="50" w:after="156" w:afterLines="50" w:line="360" w:lineRule="auto"/>
              <w:jc w:val="left"/>
              <w:rPr>
                <w:rFonts w:ascii="宋体" w:cs="宋体"/>
                <w:bCs/>
                <w:color w:val="000000" w:themeColor="text1"/>
                <w14:textFill>
                  <w14:solidFill>
                    <w14:schemeClr w14:val="tx1"/>
                  </w14:solidFill>
                </w14:textFill>
              </w:rPr>
            </w:pPr>
            <w:r>
              <w:rPr>
                <w:rFonts w:hint="eastAsia" w:ascii="宋体" w:cs="宋体"/>
                <w:b/>
                <w:color w:val="000000" w:themeColor="text1"/>
                <w14:textFill>
                  <w14:solidFill>
                    <w14:schemeClr w14:val="tx1"/>
                  </w14:solidFill>
                </w14:textFill>
              </w:rPr>
              <w:t>最终响应报价=各类船舶保管费响应单价报价之和。</w:t>
            </w:r>
          </w:p>
        </w:tc>
        <w:tc>
          <w:tcPr>
            <w:tcW w:w="392" w:type="pct"/>
            <w:tcBorders>
              <w:top w:val="single" w:color="auto" w:sz="4" w:space="0"/>
              <w:left w:val="single" w:color="auto" w:sz="4" w:space="0"/>
              <w:bottom w:val="single" w:color="auto" w:sz="4" w:space="0"/>
              <w:right w:val="single" w:color="auto" w:sz="4" w:space="0"/>
              <w:tl2br w:val="nil"/>
              <w:tr2bl w:val="nil"/>
            </w:tcBorders>
            <w:vAlign w:val="center"/>
          </w:tcPr>
          <w:p w14:paraId="7B7EE52D">
            <w:pPr>
              <w:pStyle w:val="11"/>
              <w:spacing w:line="360" w:lineRule="auto"/>
              <w:jc w:val="center"/>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30</w:t>
            </w:r>
          </w:p>
        </w:tc>
      </w:tr>
    </w:tbl>
    <w:p w14:paraId="71613F97">
      <w:pPr>
        <w:pStyle w:val="11"/>
        <w:rPr>
          <w:color w:val="000000" w:themeColor="text1"/>
          <w14:textFill>
            <w14:solidFill>
              <w14:schemeClr w14:val="tx1"/>
            </w14:solidFill>
          </w14:textFill>
        </w:rPr>
      </w:pPr>
    </w:p>
    <w:p w14:paraId="12490DCF">
      <w:pPr>
        <w:pStyle w:val="40"/>
        <w:numPr>
          <w:ilvl w:val="0"/>
          <w:numId w:val="16"/>
        </w:numPr>
        <w:spacing w:line="360" w:lineRule="auto"/>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汇总、排序</w:t>
      </w:r>
    </w:p>
    <w:p w14:paraId="7D3153DA">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评审结果按评审后总得分由高到低顺序排列。评审得分相同的，按最终报价由低到高顺序排列。得分且最终报价相同的，由磋商小组采取随机抽取的方式确定。排名第一的磋商供应商为第一成交候选人，排名第二的磋商供应商为第二成交候选人，以此类推。</w:t>
      </w:r>
    </w:p>
    <w:p w14:paraId="7FCD8A9F">
      <w:pPr>
        <w:pStyle w:val="40"/>
        <w:numPr>
          <w:ilvl w:val="0"/>
          <w:numId w:val="16"/>
        </w:numPr>
        <w:spacing w:line="360" w:lineRule="auto"/>
        <w:jc w:val="left"/>
        <w:outlineLvl w:val="2"/>
        <w:rPr>
          <w:rFonts w:hint="eastAsia" w:ascii="宋体"/>
          <w:b/>
          <w:color w:val="000000" w:themeColor="text1"/>
          <w14:textFill>
            <w14:solidFill>
              <w14:schemeClr w14:val="tx1"/>
            </w14:solidFill>
          </w14:textFill>
        </w:rPr>
      </w:pPr>
      <w:bookmarkStart w:id="123" w:name="_Hlk175753255"/>
      <w:bookmarkEnd w:id="123"/>
      <w:r>
        <w:rPr>
          <w:rFonts w:hint="eastAsia" w:ascii="宋体"/>
          <w:b/>
          <w:color w:val="000000" w:themeColor="text1"/>
          <w14:textFill>
            <w14:solidFill>
              <w14:schemeClr w14:val="tx1"/>
            </w14:solidFill>
          </w14:textFill>
        </w:rPr>
        <w:t>编写评审报告</w:t>
      </w:r>
    </w:p>
    <w:p w14:paraId="58DBD89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8.1磋商小组根据全体评审成员签字的原始评标记录和评审结果编写评审报告。</w:t>
      </w:r>
    </w:p>
    <w:p w14:paraId="14576798">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8.2磋商小组成员对需要共同认定的事项存在争议的，应当按照少数服从多数的原则作出结论。持不同意见的协商小组成员应当在评审报告上签署不同意见及理由，否则视为同意评审报告。</w:t>
      </w:r>
    </w:p>
    <w:p w14:paraId="594C4F93">
      <w:pPr>
        <w:pStyle w:val="40"/>
        <w:numPr>
          <w:ilvl w:val="0"/>
          <w:numId w:val="16"/>
        </w:numPr>
        <w:spacing w:line="360" w:lineRule="auto"/>
        <w:jc w:val="left"/>
        <w:outlineLvl w:val="2"/>
        <w:rPr>
          <w:rFonts w:hint="eastAsia" w:ascii="宋体"/>
          <w:b/>
          <w:color w:val="000000" w:themeColor="text1"/>
          <w14:textFill>
            <w14:solidFill>
              <w14:schemeClr w14:val="tx1"/>
            </w14:solidFill>
          </w14:textFill>
        </w:rPr>
      </w:pPr>
      <w:r>
        <w:rPr>
          <w:rFonts w:hint="eastAsia" w:ascii="宋体"/>
          <w:b/>
          <w:color w:val="000000" w:themeColor="text1"/>
          <w14:textFill>
            <w14:solidFill>
              <w14:schemeClr w14:val="tx1"/>
            </w14:solidFill>
          </w14:textFill>
        </w:rPr>
        <w:t>其他无效响应的情形</w:t>
      </w:r>
    </w:p>
    <w:p w14:paraId="40367E76">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9.1评审期间，供应商没有按磋商小组的要求提交法定代表人或其委托代理人签字的澄清、说明、补正或改变了响应文件的实质性内容的。</w:t>
      </w:r>
    </w:p>
    <w:p w14:paraId="2108AEC9">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9.2响应文件提供虚假材料的。</w:t>
      </w:r>
    </w:p>
    <w:p w14:paraId="6E61B2B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9.3供应商以他人名义响应、串通响应、以行贿手段谋取成交或者以其他弄虚作假方式响应的。</w:t>
      </w:r>
    </w:p>
    <w:p w14:paraId="4C7F3055">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9.4供应商对采购人、采购代理机构、磋商小组及其工作人员施加影响，有碍采购公平、公正的。</w:t>
      </w:r>
    </w:p>
    <w:p w14:paraId="308264AA">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9.5响应文件含有采购人不能接受的附加条件的。</w:t>
      </w:r>
    </w:p>
    <w:p w14:paraId="70FD8F37">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9.6法律、法规和磋商文件规定的其他无效情形。</w:t>
      </w:r>
    </w:p>
    <w:p w14:paraId="2FBF0F1C">
      <w:pPr>
        <w:widowControl/>
        <w:jc w:val="left"/>
        <w:rPr>
          <w:b/>
          <w:bCs/>
          <w:color w:val="000000" w:themeColor="text1"/>
          <w:kern w:val="44"/>
          <w:sz w:val="24"/>
          <w14:textFill>
            <w14:solidFill>
              <w14:schemeClr w14:val="tx1"/>
            </w14:solidFill>
          </w14:textFill>
        </w:rPr>
      </w:pPr>
      <w:bookmarkStart w:id="124" w:name="_Toc103033216"/>
      <w:bookmarkEnd w:id="124"/>
      <w:bookmarkStart w:id="125" w:name="_Toc889"/>
      <w:bookmarkEnd w:id="125"/>
      <w:bookmarkStart w:id="126" w:name="_Toc104040700"/>
      <w:bookmarkEnd w:id="126"/>
      <w:bookmarkStart w:id="127" w:name="_Toc102936915"/>
      <w:bookmarkEnd w:id="127"/>
      <w:bookmarkStart w:id="128" w:name="_Toc103216637"/>
      <w:r>
        <w:rPr>
          <w:color w:val="000000" w:themeColor="text1"/>
          <w:sz w:val="24"/>
          <w14:textFill>
            <w14:solidFill>
              <w14:schemeClr w14:val="tx1"/>
            </w14:solidFill>
          </w14:textFill>
        </w:rPr>
        <w:br w:type="page"/>
      </w:r>
    </w:p>
    <w:p w14:paraId="48A1B874">
      <w:pPr>
        <w:pStyle w:val="2"/>
        <w:keepLines w:val="0"/>
        <w:numPr>
          <w:ilvl w:val="0"/>
          <w:numId w:val="20"/>
        </w:numPr>
        <w:spacing w:before="0" w:after="0" w:line="360" w:lineRule="auto"/>
        <w:rPr>
          <w:rFonts w:eastAsia="宋体"/>
          <w:color w:val="000000" w:themeColor="text1"/>
          <w:sz w:val="24"/>
          <w:szCs w:val="24"/>
          <w14:textFill>
            <w14:solidFill>
              <w14:schemeClr w14:val="tx1"/>
            </w14:solidFill>
          </w14:textFill>
        </w:rPr>
      </w:pPr>
      <w:bookmarkStart w:id="129" w:name="_Toc1245"/>
      <w:r>
        <w:rPr>
          <w:rFonts w:hint="eastAsia" w:eastAsia="宋体"/>
          <w:color w:val="000000" w:themeColor="text1"/>
          <w:sz w:val="24"/>
          <w:szCs w:val="24"/>
          <w14:textFill>
            <w14:solidFill>
              <w14:schemeClr w14:val="tx1"/>
            </w14:solidFill>
          </w14:textFill>
        </w:rPr>
        <w:t>合同文本</w:t>
      </w:r>
      <w:bookmarkEnd w:id="128"/>
      <w:bookmarkEnd w:id="129"/>
      <w:bookmarkStart w:id="130" w:name="_Toc453663167"/>
      <w:bookmarkEnd w:id="130"/>
      <w:bookmarkStart w:id="131" w:name="_Toc481009509"/>
      <w:bookmarkEnd w:id="131"/>
      <w:bookmarkStart w:id="132" w:name="_Toc68789522"/>
      <w:bookmarkEnd w:id="132"/>
      <w:bookmarkStart w:id="133" w:name="_Toc67046890"/>
      <w:bookmarkEnd w:id="133"/>
      <w:bookmarkStart w:id="134" w:name="_Toc42923379"/>
      <w:bookmarkEnd w:id="134"/>
      <w:bookmarkStart w:id="135" w:name="_Toc314746649"/>
      <w:bookmarkEnd w:id="135"/>
      <w:bookmarkStart w:id="136" w:name="_Toc454979452"/>
      <w:bookmarkEnd w:id="136"/>
      <w:bookmarkStart w:id="137" w:name="_Toc20383"/>
      <w:bookmarkEnd w:id="137"/>
      <w:bookmarkStart w:id="138" w:name="_Toc70528447"/>
      <w:bookmarkEnd w:id="138"/>
      <w:bookmarkStart w:id="139" w:name="_Toc496780387"/>
      <w:bookmarkEnd w:id="139"/>
      <w:bookmarkStart w:id="140" w:name="_Toc432067248"/>
      <w:bookmarkEnd w:id="140"/>
      <w:bookmarkStart w:id="141" w:name="_Toc76397758"/>
      <w:bookmarkEnd w:id="141"/>
      <w:bookmarkStart w:id="142" w:name="_Toc70528477"/>
      <w:bookmarkEnd w:id="142"/>
      <w:bookmarkStart w:id="143" w:name="_Toc22308"/>
      <w:bookmarkEnd w:id="143"/>
      <w:bookmarkStart w:id="144" w:name="_Toc531617908"/>
      <w:bookmarkEnd w:id="144"/>
      <w:bookmarkStart w:id="145" w:name="_Toc49508359"/>
      <w:bookmarkEnd w:id="145"/>
      <w:bookmarkStart w:id="146" w:name="_Toc3387032"/>
      <w:bookmarkEnd w:id="146"/>
      <w:bookmarkStart w:id="147" w:name="_Toc37919883"/>
      <w:bookmarkEnd w:id="147"/>
    </w:p>
    <w:p w14:paraId="5327F59F">
      <w:pPr>
        <w:rPr>
          <w:color w:val="000000" w:themeColor="text1"/>
          <w:sz w:val="24"/>
          <w14:textFill>
            <w14:solidFill>
              <w14:schemeClr w14:val="tx1"/>
            </w14:solidFill>
          </w14:textFill>
        </w:rPr>
      </w:pPr>
    </w:p>
    <w:p w14:paraId="522EAA94">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注：（合同格式为合同的参考文本，合同签订双方可根据项目的具体要求进行修订）</w:t>
      </w:r>
    </w:p>
    <w:p w14:paraId="56B4A617">
      <w:pPr>
        <w:spacing w:line="360" w:lineRule="auto"/>
        <w:jc w:val="right"/>
        <w:rPr>
          <w:color w:val="000000" w:themeColor="text1"/>
          <w14:textFill>
            <w14:solidFill>
              <w14:schemeClr w14:val="tx1"/>
            </w14:solidFill>
          </w14:textFill>
        </w:rPr>
      </w:pPr>
    </w:p>
    <w:p w14:paraId="0D0DCE6F">
      <w:pPr>
        <w:pStyle w:val="51"/>
        <w:spacing w:line="560" w:lineRule="exact"/>
        <w:jc w:val="center"/>
        <w:rPr>
          <w:rFonts w:ascii="方正小标宋_GBK" w:eastAsia="方正小标宋_GBK"/>
          <w:color w:val="000000" w:themeColor="text1"/>
          <w:sz w:val="44"/>
          <w:szCs w:val="44"/>
          <w14:textFill>
            <w14:solidFill>
              <w14:schemeClr w14:val="tx1"/>
            </w14:solidFill>
          </w14:textFill>
        </w:rPr>
      </w:pPr>
      <w:bookmarkStart w:id="148" w:name="_Toc104040701"/>
      <w:bookmarkStart w:id="149" w:name="_Toc15590"/>
      <w:r>
        <w:rPr>
          <w:rFonts w:hint="eastAsia" w:ascii="方正小标宋_GBK" w:eastAsia="方正小标宋_GBK"/>
          <w:color w:val="000000" w:themeColor="text1"/>
          <w:sz w:val="44"/>
          <w:szCs w:val="44"/>
          <w14:textFill>
            <w14:solidFill>
              <w14:schemeClr w14:val="tx1"/>
            </w14:solidFill>
          </w14:textFill>
        </w:rPr>
        <w:t>海关</w:t>
      </w:r>
      <w:r>
        <w:rPr>
          <w:rFonts w:ascii="方正小标宋_GBK" w:eastAsia="方正小标宋_GBK"/>
          <w:color w:val="000000" w:themeColor="text1"/>
          <w:sz w:val="44"/>
          <w:szCs w:val="44"/>
          <w14:textFill>
            <w14:solidFill>
              <w14:schemeClr w14:val="tx1"/>
            </w14:solidFill>
          </w14:textFill>
        </w:rPr>
        <w:t>涉案</w:t>
      </w:r>
      <w:r>
        <w:rPr>
          <w:rFonts w:hint="eastAsia" w:ascii="方正小标宋_GBK" w:eastAsia="方正小标宋_GBK"/>
          <w:color w:val="000000" w:themeColor="text1"/>
          <w:sz w:val="44"/>
          <w:szCs w:val="44"/>
          <w14:textFill>
            <w14:solidFill>
              <w14:schemeClr w14:val="tx1"/>
            </w14:solidFill>
          </w14:textFill>
        </w:rPr>
        <w:t>财物（船舶）委托仓储保管协议</w:t>
      </w:r>
    </w:p>
    <w:p w14:paraId="5089EA32">
      <w:pPr>
        <w:spacing w:line="560" w:lineRule="exact"/>
        <w:ind w:firstLine="480"/>
        <w:jc w:val="left"/>
        <w:rPr>
          <w:rFonts w:ascii="宋体" w:cs="宋体"/>
          <w:color w:val="000000" w:themeColor="text1"/>
          <w:szCs w:val="21"/>
          <w:lang w:val="zh-CN" w:bidi="zh-CN"/>
          <w14:textFill>
            <w14:solidFill>
              <w14:schemeClr w14:val="tx1"/>
            </w14:solidFill>
          </w14:textFill>
        </w:rPr>
      </w:pPr>
    </w:p>
    <w:p w14:paraId="1C367D3E">
      <w:pPr>
        <w:pStyle w:val="49"/>
        <w:spacing w:line="560" w:lineRule="exact"/>
        <w:rPr>
          <w:rFonts w:eastAsia="方正仿宋_GBK"/>
          <w:b/>
          <w:color w:val="000000" w:themeColor="text1"/>
          <w:sz w:val="26"/>
          <w:szCs w:val="26"/>
          <w14:textFill>
            <w14:solidFill>
              <w14:schemeClr w14:val="tx1"/>
            </w14:solidFill>
          </w14:textFill>
        </w:rPr>
      </w:pPr>
      <w:r>
        <w:rPr>
          <w:rFonts w:eastAsia="方正仿宋_GBK"/>
          <w:b/>
          <w:color w:val="000000" w:themeColor="text1"/>
          <w:sz w:val="26"/>
          <w:szCs w:val="26"/>
          <w14:textFill>
            <w14:solidFill>
              <w14:schemeClr w14:val="tx1"/>
            </w14:solidFill>
          </w14:textFill>
        </w:rPr>
        <w:t>甲方</w:t>
      </w:r>
      <w:r>
        <w:rPr>
          <w:rFonts w:hint="eastAsia" w:eastAsia="方正仿宋_GBK"/>
          <w:b/>
          <w:color w:val="000000" w:themeColor="text1"/>
          <w:sz w:val="26"/>
          <w:szCs w:val="26"/>
          <w14:textFill>
            <w14:solidFill>
              <w14:schemeClr w14:val="tx1"/>
            </w14:solidFill>
          </w14:textFill>
        </w:rPr>
        <w:t>：中华人民共和国江门海关</w:t>
      </w:r>
    </w:p>
    <w:p w14:paraId="1A996B5F">
      <w:pPr>
        <w:pStyle w:val="49"/>
        <w:spacing w:line="560" w:lineRule="exact"/>
        <w:rPr>
          <w:rFonts w:eastAsia="方正仿宋_GBK"/>
          <w:b/>
          <w:color w:val="000000" w:themeColor="text1"/>
          <w:sz w:val="26"/>
          <w:szCs w:val="26"/>
          <w14:textFill>
            <w14:solidFill>
              <w14:schemeClr w14:val="tx1"/>
            </w14:solidFill>
          </w14:textFill>
        </w:rPr>
      </w:pPr>
      <w:r>
        <w:rPr>
          <w:rFonts w:hint="eastAsia" w:eastAsia="方正仿宋_GBK"/>
          <w:b/>
          <w:color w:val="000000" w:themeColor="text1"/>
          <w:sz w:val="26"/>
          <w:szCs w:val="26"/>
          <w14:textFill>
            <w14:solidFill>
              <w14:schemeClr w14:val="tx1"/>
            </w14:solidFill>
          </w14:textFill>
        </w:rPr>
        <w:t>联系方式：326</w:t>
      </w:r>
      <w:r>
        <w:rPr>
          <w:rFonts w:eastAsia="方正仿宋_GBK"/>
          <w:b/>
          <w:color w:val="000000" w:themeColor="text1"/>
          <w:sz w:val="26"/>
          <w:szCs w:val="26"/>
          <w14:textFill>
            <w14:solidFill>
              <w14:schemeClr w14:val="tx1"/>
            </w14:solidFill>
          </w14:textFill>
        </w:rPr>
        <w:t>3228</w:t>
      </w:r>
    </w:p>
    <w:p w14:paraId="101C359E">
      <w:pPr>
        <w:pStyle w:val="49"/>
        <w:spacing w:line="560" w:lineRule="exact"/>
        <w:rPr>
          <w:rFonts w:eastAsia="方正仿宋_GBK"/>
          <w:b/>
          <w:color w:val="000000" w:themeColor="text1"/>
          <w:sz w:val="26"/>
          <w:szCs w:val="26"/>
          <w14:textFill>
            <w14:solidFill>
              <w14:schemeClr w14:val="tx1"/>
            </w14:solidFill>
          </w14:textFill>
        </w:rPr>
      </w:pPr>
      <w:r>
        <w:rPr>
          <w:rFonts w:hint="eastAsia" w:eastAsia="方正仿宋_GBK"/>
          <w:b/>
          <w:color w:val="000000" w:themeColor="text1"/>
          <w:sz w:val="26"/>
          <w:szCs w:val="26"/>
          <w14:textFill>
            <w14:solidFill>
              <w14:schemeClr w14:val="tx1"/>
            </w14:solidFill>
          </w14:textFill>
        </w:rPr>
        <w:t>地址：江门市海傍街43号</w:t>
      </w:r>
    </w:p>
    <w:p w14:paraId="30047DF0">
      <w:pPr>
        <w:pStyle w:val="49"/>
        <w:spacing w:line="560" w:lineRule="exact"/>
        <w:rPr>
          <w:rFonts w:eastAsia="方正仿宋_GBK"/>
          <w:b/>
          <w:color w:val="000000" w:themeColor="text1"/>
          <w:sz w:val="26"/>
          <w:szCs w:val="26"/>
          <w14:textFill>
            <w14:solidFill>
              <w14:schemeClr w14:val="tx1"/>
            </w14:solidFill>
          </w14:textFill>
        </w:rPr>
      </w:pPr>
    </w:p>
    <w:p w14:paraId="63BC0D44">
      <w:pPr>
        <w:pStyle w:val="49"/>
        <w:spacing w:line="560" w:lineRule="exact"/>
        <w:rPr>
          <w:rFonts w:eastAsia="方正仿宋_GBK"/>
          <w:b/>
          <w:color w:val="000000" w:themeColor="text1"/>
          <w:sz w:val="26"/>
          <w:szCs w:val="26"/>
          <w14:textFill>
            <w14:solidFill>
              <w14:schemeClr w14:val="tx1"/>
            </w14:solidFill>
          </w14:textFill>
        </w:rPr>
      </w:pPr>
      <w:r>
        <w:rPr>
          <w:rFonts w:eastAsia="方正仿宋_GBK"/>
          <w:b/>
          <w:color w:val="000000" w:themeColor="text1"/>
          <w:sz w:val="26"/>
          <w:szCs w:val="26"/>
          <w14:textFill>
            <w14:solidFill>
              <w14:schemeClr w14:val="tx1"/>
            </w14:solidFill>
          </w14:textFill>
        </w:rPr>
        <w:t>乙方：</w:t>
      </w:r>
    </w:p>
    <w:p w14:paraId="25119DE0">
      <w:pPr>
        <w:pStyle w:val="49"/>
        <w:spacing w:line="560" w:lineRule="exact"/>
        <w:rPr>
          <w:rFonts w:eastAsia="方正仿宋_GBK"/>
          <w:b/>
          <w:color w:val="000000" w:themeColor="text1"/>
          <w:sz w:val="26"/>
          <w:szCs w:val="26"/>
          <w14:textFill>
            <w14:solidFill>
              <w14:schemeClr w14:val="tx1"/>
            </w14:solidFill>
          </w14:textFill>
        </w:rPr>
      </w:pPr>
      <w:r>
        <w:rPr>
          <w:rFonts w:hint="eastAsia" w:eastAsia="方正仿宋_GBK"/>
          <w:b/>
          <w:color w:val="000000" w:themeColor="text1"/>
          <w:sz w:val="26"/>
          <w:szCs w:val="26"/>
          <w14:textFill>
            <w14:solidFill>
              <w14:schemeClr w14:val="tx1"/>
            </w14:solidFill>
          </w14:textFill>
        </w:rPr>
        <w:t>联系人：</w:t>
      </w:r>
    </w:p>
    <w:p w14:paraId="4A89979B">
      <w:pPr>
        <w:pStyle w:val="49"/>
        <w:spacing w:line="560" w:lineRule="exact"/>
        <w:rPr>
          <w:rFonts w:eastAsia="方正仿宋_GBK"/>
          <w:b/>
          <w:color w:val="000000" w:themeColor="text1"/>
          <w:sz w:val="26"/>
          <w:szCs w:val="26"/>
          <w14:textFill>
            <w14:solidFill>
              <w14:schemeClr w14:val="tx1"/>
            </w14:solidFill>
          </w14:textFill>
        </w:rPr>
      </w:pPr>
      <w:r>
        <w:rPr>
          <w:rFonts w:hint="eastAsia" w:eastAsia="方正仿宋_GBK"/>
          <w:b/>
          <w:color w:val="000000" w:themeColor="text1"/>
          <w:sz w:val="26"/>
          <w:szCs w:val="26"/>
          <w14:textFill>
            <w14:solidFill>
              <w14:schemeClr w14:val="tx1"/>
            </w14:solidFill>
          </w14:textFill>
        </w:rPr>
        <w:t>联系方式：</w:t>
      </w:r>
    </w:p>
    <w:p w14:paraId="28252DDF">
      <w:pPr>
        <w:pStyle w:val="49"/>
        <w:spacing w:line="560" w:lineRule="exact"/>
        <w:rPr>
          <w:rFonts w:eastAsia="方正仿宋_GBK"/>
          <w:b/>
          <w:color w:val="000000" w:themeColor="text1"/>
          <w:sz w:val="26"/>
          <w:szCs w:val="26"/>
          <w14:textFill>
            <w14:solidFill>
              <w14:schemeClr w14:val="tx1"/>
            </w14:solidFill>
          </w14:textFill>
        </w:rPr>
      </w:pPr>
      <w:r>
        <w:rPr>
          <w:rFonts w:hint="eastAsia" w:eastAsia="方正仿宋_GBK"/>
          <w:b/>
          <w:color w:val="000000" w:themeColor="text1"/>
          <w:sz w:val="26"/>
          <w:szCs w:val="26"/>
          <w14:textFill>
            <w14:solidFill>
              <w14:schemeClr w14:val="tx1"/>
            </w14:solidFill>
          </w14:textFill>
        </w:rPr>
        <w:t>地址：</w:t>
      </w:r>
    </w:p>
    <w:p w14:paraId="67E118A9">
      <w:pPr>
        <w:pStyle w:val="49"/>
        <w:spacing w:line="560" w:lineRule="exact"/>
        <w:rPr>
          <w:rFonts w:eastAsia="方正仿宋_GBK"/>
          <w:b/>
          <w:color w:val="000000" w:themeColor="text1"/>
          <w:sz w:val="32"/>
          <w:szCs w:val="32"/>
          <w14:textFill>
            <w14:solidFill>
              <w14:schemeClr w14:val="tx1"/>
            </w14:solidFill>
          </w14:textFill>
        </w:rPr>
      </w:pPr>
    </w:p>
    <w:p w14:paraId="0392E311">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根据《中华人民共和国民法典》以及海关涉案财物相关管理制度规定，甲乙双方对海关涉案财物（船舶）委托保管事宜，经协商一致，签订本协议。</w:t>
      </w:r>
    </w:p>
    <w:p w14:paraId="3AD5576B">
      <w:pPr>
        <w:spacing w:line="560" w:lineRule="exact"/>
        <w:ind w:firstLine="480"/>
        <w:rPr>
          <w:rFonts w:hint="eastAsia" w:ascii="CESI黑体-GB13000" w:hAnsi="CESI黑体-GB13000" w:eastAsia="CESI黑体-GB13000" w:cs="CESI黑体-GB13000"/>
          <w:color w:val="000000" w:themeColor="text1"/>
          <w:sz w:val="26"/>
          <w:szCs w:val="26"/>
          <w14:textFill>
            <w14:solidFill>
              <w14:schemeClr w14:val="tx1"/>
            </w14:solidFill>
          </w14:textFill>
        </w:rPr>
      </w:pPr>
      <w:r>
        <w:rPr>
          <w:rFonts w:hint="eastAsia" w:ascii="CESI黑体-GB13000" w:hAnsi="CESI黑体-GB13000" w:eastAsia="CESI黑体-GB13000" w:cs="CESI黑体-GB13000"/>
          <w:color w:val="000000" w:themeColor="text1"/>
          <w:sz w:val="26"/>
          <w:szCs w:val="26"/>
          <w14:textFill>
            <w14:solidFill>
              <w14:schemeClr w14:val="tx1"/>
            </w14:solidFill>
          </w14:textFill>
        </w:rPr>
        <w:t>第一条　委托保管的标的物</w:t>
      </w:r>
    </w:p>
    <w:p w14:paraId="1BA0D8FF">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shd w:val="clear" w:color="auto" w:fill="FFFFFF"/>
          <w14:textFill>
            <w14:solidFill>
              <w14:schemeClr w14:val="tx1"/>
            </w14:solidFill>
          </w14:textFill>
        </w:rPr>
        <w:t>委托保管的标的物是指甲方委托乙方</w:t>
      </w:r>
      <w:r>
        <w:rPr>
          <w:rFonts w:hint="eastAsia" w:ascii="CESI仿宋-GB13000" w:hAnsi="CESI仿宋-GB13000" w:eastAsia="CESI仿宋-GB13000" w:cs="CESI仿宋-GB13000"/>
          <w:color w:val="000000" w:themeColor="text1"/>
          <w:sz w:val="26"/>
          <w:szCs w:val="26"/>
          <w14:textFill>
            <w14:solidFill>
              <w14:schemeClr w14:val="tx1"/>
            </w14:solidFill>
          </w14:textFill>
        </w:rPr>
        <w:t>保管的海关涉案财物（船舶），以下简称“涉案财物”。</w:t>
      </w:r>
      <w:r>
        <w:rPr>
          <w:rFonts w:hint="eastAsia" w:ascii="CESI仿宋-GB13000" w:hAnsi="CESI仿宋-GB13000" w:eastAsia="CESI仿宋-GB13000" w:cs="CESI仿宋-GB13000"/>
          <w:color w:val="000000" w:themeColor="text1"/>
          <w:sz w:val="26"/>
          <w:szCs w:val="26"/>
          <w:shd w:val="clear" w:color="auto" w:fill="FFFFFF"/>
          <w14:textFill>
            <w14:solidFill>
              <w14:schemeClr w14:val="tx1"/>
            </w14:solidFill>
          </w14:textFill>
        </w:rPr>
        <w:t>涉案财物的数量（重量）、规格、品名、型号、包装方式、货物（物品）瑕疵等情况，以</w:t>
      </w:r>
      <w:r>
        <w:rPr>
          <w:rFonts w:hint="eastAsia" w:ascii="CESI仿宋-GB13000" w:hAnsi="CESI仿宋-GB13000" w:eastAsia="CESI仿宋-GB13000" w:cs="CESI仿宋-GB13000"/>
          <w:color w:val="000000" w:themeColor="text1"/>
          <w:sz w:val="26"/>
          <w:szCs w:val="26"/>
          <w14:textFill>
            <w14:solidFill>
              <w14:schemeClr w14:val="tx1"/>
            </w14:solidFill>
          </w14:textFill>
        </w:rPr>
        <w:t>《海关涉案财物入库清单》</w:t>
      </w:r>
      <w:r>
        <w:rPr>
          <w:rFonts w:hint="eastAsia" w:ascii="CESI仿宋-GB13000" w:hAnsi="CESI仿宋-GB13000" w:eastAsia="CESI仿宋-GB13000" w:cs="CESI仿宋-GB13000"/>
          <w:color w:val="000000" w:themeColor="text1"/>
          <w:sz w:val="26"/>
          <w:szCs w:val="26"/>
          <w:shd w:val="clear" w:color="auto" w:fill="FFFFFF"/>
          <w14:textFill>
            <w14:solidFill>
              <w14:schemeClr w14:val="tx1"/>
            </w14:solidFill>
          </w14:textFill>
        </w:rPr>
        <w:t>载明的内容为准。</w:t>
      </w:r>
    </w:p>
    <w:p w14:paraId="36948D15">
      <w:pPr>
        <w:spacing w:line="560" w:lineRule="exact"/>
        <w:ind w:firstLine="480"/>
        <w:rPr>
          <w:rFonts w:hint="eastAsia" w:ascii="CESI黑体-GB13000" w:hAnsi="CESI黑体-GB13000" w:eastAsia="CESI黑体-GB13000" w:cs="CESI黑体-GB13000"/>
          <w:color w:val="000000" w:themeColor="text1"/>
          <w:sz w:val="26"/>
          <w:szCs w:val="26"/>
          <w14:textFill>
            <w14:solidFill>
              <w14:schemeClr w14:val="tx1"/>
            </w14:solidFill>
          </w14:textFill>
        </w:rPr>
      </w:pPr>
      <w:r>
        <w:rPr>
          <w:rFonts w:hint="eastAsia" w:ascii="CESI黑体-GB13000" w:hAnsi="CESI黑体-GB13000" w:eastAsia="CESI黑体-GB13000" w:cs="CESI黑体-GB13000"/>
          <w:color w:val="000000" w:themeColor="text1"/>
          <w:sz w:val="26"/>
          <w:szCs w:val="26"/>
          <w14:textFill>
            <w14:solidFill>
              <w14:schemeClr w14:val="tx1"/>
            </w14:solidFill>
          </w14:textFill>
        </w:rPr>
        <w:t>第二条　涉案财物保管收费标准及结算方式</w:t>
      </w:r>
    </w:p>
    <w:p w14:paraId="59CF6C4F">
      <w:pPr>
        <w:spacing w:line="560" w:lineRule="exact"/>
        <w:ind w:firstLine="480"/>
        <w:rPr>
          <w:rFonts w:hint="eastAsia" w:ascii="方正楷体_GBK" w:hAnsi="方正楷体_GBK" w:eastAsia="方正楷体_GBK" w:cs="方正楷体_GBK"/>
          <w:color w:val="000000" w:themeColor="text1"/>
          <w:sz w:val="26"/>
          <w:szCs w:val="26"/>
          <w14:textFill>
            <w14:solidFill>
              <w14:schemeClr w14:val="tx1"/>
            </w14:solidFill>
          </w14:textFill>
        </w:rPr>
      </w:pPr>
      <w:r>
        <w:rPr>
          <w:rFonts w:hint="eastAsia" w:ascii="方正楷体_GBK" w:hAnsi="方正楷体_GBK" w:eastAsia="方正楷体_GBK" w:cs="方正楷体_GBK"/>
          <w:color w:val="000000" w:themeColor="text1"/>
          <w:sz w:val="26"/>
          <w:szCs w:val="26"/>
          <w14:textFill>
            <w14:solidFill>
              <w14:schemeClr w14:val="tx1"/>
            </w14:solidFill>
          </w14:textFill>
        </w:rPr>
        <w:t>（一）收费标准。</w:t>
      </w:r>
    </w:p>
    <w:p w14:paraId="31F236CB">
      <w:pPr>
        <w:spacing w:line="560" w:lineRule="exact"/>
        <w:ind w:firstLine="480"/>
        <w:rPr>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1．保管收费标准：</w:t>
      </w:r>
    </w:p>
    <w:tbl>
      <w:tblPr>
        <w:tblStyle w:val="29"/>
        <w:tblpPr w:leftFromText="180" w:rightFromText="180" w:vertAnchor="text" w:horzAnchor="margin" w:tblpXSpec="center" w:tblpY="231"/>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0"/>
        <w:gridCol w:w="2483"/>
        <w:gridCol w:w="1990"/>
        <w:gridCol w:w="2696"/>
        <w:gridCol w:w="1993"/>
      </w:tblGrid>
      <w:tr w14:paraId="423262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73" w:type="dxa"/>
            <w:vMerge w:val="restart"/>
            <w:tcBorders>
              <w:tl2br w:val="nil"/>
              <w:tr2bl w:val="nil"/>
            </w:tcBorders>
            <w:noWrap/>
            <w:vAlign w:val="center"/>
          </w:tcPr>
          <w:p w14:paraId="43B96B8E">
            <w:pPr>
              <w:spacing w:line="560" w:lineRule="exact"/>
              <w:jc w:val="center"/>
              <w:rPr>
                <w:rFonts w:hint="eastAsia" w:ascii="CESI仿宋-GB13000" w:hAnsi="CESI仿宋-GB13000" w:eastAsia="CESI仿宋-GB13000" w:cs="CESI仿宋-GB13000"/>
                <w:b/>
                <w:bCs/>
                <w:color w:val="000000" w:themeColor="text1"/>
                <w:sz w:val="26"/>
                <w:szCs w:val="26"/>
                <w14:textFill>
                  <w14:solidFill>
                    <w14:schemeClr w14:val="tx1"/>
                  </w14:solidFill>
                </w14:textFill>
              </w:rPr>
            </w:pPr>
            <w:r>
              <w:rPr>
                <w:rFonts w:hint="eastAsia" w:ascii="CESI仿宋-GB13000" w:hAnsi="CESI仿宋-GB13000" w:eastAsia="CESI仿宋-GB13000" w:cs="CESI仿宋-GB13000"/>
                <w:b/>
                <w:bCs/>
                <w:color w:val="000000" w:themeColor="text1"/>
                <w:sz w:val="26"/>
                <w:szCs w:val="26"/>
                <w14:textFill>
                  <w14:solidFill>
                    <w14:schemeClr w14:val="tx1"/>
                  </w14:solidFill>
                </w14:textFill>
              </w:rPr>
              <w:t>序号</w:t>
            </w:r>
          </w:p>
        </w:tc>
        <w:tc>
          <w:tcPr>
            <w:tcW w:w="2400" w:type="dxa"/>
            <w:vMerge w:val="restart"/>
            <w:tcBorders>
              <w:tl2br w:val="nil"/>
              <w:tr2bl w:val="nil"/>
            </w:tcBorders>
            <w:noWrap/>
            <w:vAlign w:val="center"/>
          </w:tcPr>
          <w:p w14:paraId="1E74FC7C">
            <w:pPr>
              <w:pStyle w:val="91"/>
              <w:spacing w:line="560" w:lineRule="exact"/>
              <w:jc w:val="center"/>
              <w:rPr>
                <w:rFonts w:hint="eastAsia" w:ascii="CESI仿宋-GB13000" w:hAnsi="CESI仿宋-GB13000" w:eastAsia="CESI仿宋-GB13000" w:cs="CESI仿宋-GB13000"/>
                <w:b/>
                <w:bCs/>
                <w:color w:val="000000" w:themeColor="text1"/>
                <w:sz w:val="26"/>
                <w:szCs w:val="26"/>
                <w14:textFill>
                  <w14:solidFill>
                    <w14:schemeClr w14:val="tx1"/>
                  </w14:solidFill>
                </w14:textFill>
              </w:rPr>
            </w:pPr>
            <w:r>
              <w:rPr>
                <w:rFonts w:hint="eastAsia" w:ascii="CESI仿宋-GB13000" w:hAnsi="CESI仿宋-GB13000" w:eastAsia="CESI仿宋-GB13000" w:cs="CESI仿宋-GB13000"/>
                <w:b/>
                <w:bCs/>
                <w:color w:val="000000" w:themeColor="text1"/>
                <w:sz w:val="26"/>
                <w:szCs w:val="26"/>
                <w14:textFill>
                  <w14:solidFill>
                    <w14:schemeClr w14:val="tx1"/>
                  </w14:solidFill>
                </w14:textFill>
              </w:rPr>
              <w:t>船长（米）</w:t>
            </w:r>
          </w:p>
        </w:tc>
        <w:tc>
          <w:tcPr>
            <w:tcW w:w="4529" w:type="dxa"/>
            <w:gridSpan w:val="2"/>
            <w:tcBorders>
              <w:tl2br w:val="nil"/>
              <w:tr2bl w:val="nil"/>
            </w:tcBorders>
            <w:noWrap/>
            <w:vAlign w:val="center"/>
          </w:tcPr>
          <w:p w14:paraId="500DC18D">
            <w:pPr>
              <w:widowControl/>
              <w:spacing w:line="560" w:lineRule="exact"/>
              <w:jc w:val="center"/>
              <w:rPr>
                <w:rFonts w:hint="eastAsia" w:ascii="CESI仿宋-GB13000" w:hAnsi="CESI仿宋-GB13000" w:eastAsia="CESI仿宋-GB13000" w:cs="CESI仿宋-GB13000"/>
                <w:b/>
                <w:bCs/>
                <w:color w:val="000000" w:themeColor="text1"/>
                <w:sz w:val="26"/>
                <w:szCs w:val="26"/>
                <w14:textFill>
                  <w14:solidFill>
                    <w14:schemeClr w14:val="tx1"/>
                  </w14:solidFill>
                </w14:textFill>
              </w:rPr>
            </w:pPr>
            <w:r>
              <w:rPr>
                <w:rFonts w:hint="eastAsia" w:ascii="CESI仿宋-GB13000" w:hAnsi="CESI仿宋-GB13000" w:eastAsia="CESI仿宋-GB13000" w:cs="CESI仿宋-GB13000"/>
                <w:b/>
                <w:bCs/>
                <w:color w:val="000000" w:themeColor="text1"/>
                <w:sz w:val="26"/>
                <w:szCs w:val="26"/>
                <w14:textFill>
                  <w14:solidFill>
                    <w14:schemeClr w14:val="tx1"/>
                  </w14:solidFill>
                </w14:textFill>
              </w:rPr>
              <w:t>保管费</w:t>
            </w:r>
          </w:p>
        </w:tc>
        <w:tc>
          <w:tcPr>
            <w:tcW w:w="1926" w:type="dxa"/>
            <w:vMerge w:val="restart"/>
            <w:tcBorders>
              <w:tl2br w:val="nil"/>
              <w:tr2bl w:val="nil"/>
            </w:tcBorders>
            <w:noWrap/>
            <w:vAlign w:val="center"/>
          </w:tcPr>
          <w:p w14:paraId="0D6B4152">
            <w:pPr>
              <w:widowControl/>
              <w:spacing w:line="560" w:lineRule="exact"/>
              <w:jc w:val="center"/>
              <w:rPr>
                <w:rFonts w:hint="eastAsia" w:ascii="CESI仿宋-GB13000" w:hAnsi="CESI仿宋-GB13000" w:eastAsia="CESI仿宋-GB13000" w:cs="CESI仿宋-GB13000"/>
                <w:b/>
                <w:bCs/>
                <w:color w:val="000000" w:themeColor="text1"/>
                <w:sz w:val="26"/>
                <w:szCs w:val="26"/>
                <w14:textFill>
                  <w14:solidFill>
                    <w14:schemeClr w14:val="tx1"/>
                  </w14:solidFill>
                </w14:textFill>
              </w:rPr>
            </w:pPr>
            <w:r>
              <w:rPr>
                <w:rFonts w:hint="eastAsia" w:ascii="CESI仿宋-GB13000" w:hAnsi="CESI仿宋-GB13000" w:eastAsia="CESI仿宋-GB13000" w:cs="CESI仿宋-GB13000"/>
                <w:b/>
                <w:bCs/>
                <w:color w:val="000000" w:themeColor="text1"/>
                <w:sz w:val="26"/>
                <w:szCs w:val="26"/>
                <w14:textFill>
                  <w14:solidFill>
                    <w14:schemeClr w14:val="tx1"/>
                  </w14:solidFill>
                </w14:textFill>
              </w:rPr>
              <w:t>备注</w:t>
            </w:r>
          </w:p>
        </w:tc>
      </w:tr>
      <w:tr w14:paraId="6A4D2B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73" w:type="dxa"/>
            <w:vMerge w:val="continue"/>
            <w:tcBorders>
              <w:tl2br w:val="nil"/>
              <w:tr2bl w:val="nil"/>
            </w:tcBorders>
            <w:noWrap/>
            <w:vAlign w:val="center"/>
          </w:tcPr>
          <w:p w14:paraId="3B4F36CA">
            <w:pPr>
              <w:rPr>
                <w:color w:val="000000" w:themeColor="text1"/>
                <w:sz w:val="26"/>
                <w:szCs w:val="26"/>
                <w14:textFill>
                  <w14:solidFill>
                    <w14:schemeClr w14:val="tx1"/>
                  </w14:solidFill>
                </w14:textFill>
              </w:rPr>
            </w:pPr>
          </w:p>
        </w:tc>
        <w:tc>
          <w:tcPr>
            <w:tcW w:w="2400" w:type="dxa"/>
            <w:vMerge w:val="continue"/>
            <w:tcBorders>
              <w:tl2br w:val="nil"/>
              <w:tr2bl w:val="nil"/>
            </w:tcBorders>
            <w:noWrap/>
            <w:vAlign w:val="center"/>
          </w:tcPr>
          <w:p w14:paraId="6FD75056">
            <w:pPr>
              <w:rPr>
                <w:color w:val="000000" w:themeColor="text1"/>
                <w:sz w:val="26"/>
                <w:szCs w:val="26"/>
                <w14:textFill>
                  <w14:solidFill>
                    <w14:schemeClr w14:val="tx1"/>
                  </w14:solidFill>
                </w14:textFill>
              </w:rPr>
            </w:pPr>
          </w:p>
        </w:tc>
        <w:tc>
          <w:tcPr>
            <w:tcW w:w="1923" w:type="dxa"/>
            <w:tcBorders>
              <w:tl2br w:val="nil"/>
              <w:tr2bl w:val="nil"/>
            </w:tcBorders>
            <w:noWrap/>
            <w:vAlign w:val="center"/>
          </w:tcPr>
          <w:p w14:paraId="40DCD378">
            <w:pPr>
              <w:widowControl/>
              <w:spacing w:line="560" w:lineRule="exact"/>
              <w:jc w:val="center"/>
              <w:rPr>
                <w:rFonts w:hint="eastAsia" w:ascii="CESI仿宋-GB13000" w:hAnsi="CESI仿宋-GB13000" w:eastAsia="CESI仿宋-GB13000" w:cs="CESI仿宋-GB13000"/>
                <w:b/>
                <w:bCs/>
                <w:color w:val="000000" w:themeColor="text1"/>
                <w:sz w:val="26"/>
                <w:szCs w:val="26"/>
                <w14:textFill>
                  <w14:solidFill>
                    <w14:schemeClr w14:val="tx1"/>
                  </w14:solidFill>
                </w14:textFill>
              </w:rPr>
            </w:pPr>
            <w:r>
              <w:rPr>
                <w:rFonts w:hint="eastAsia" w:ascii="CESI仿宋-GB13000" w:hAnsi="CESI仿宋-GB13000" w:eastAsia="CESI仿宋-GB13000" w:cs="CESI仿宋-GB13000"/>
                <w:b/>
                <w:bCs/>
                <w:color w:val="000000" w:themeColor="text1"/>
                <w:sz w:val="26"/>
                <w:szCs w:val="26"/>
                <w14:textFill>
                  <w14:solidFill>
                    <w14:schemeClr w14:val="tx1"/>
                  </w14:solidFill>
                </w14:textFill>
              </w:rPr>
              <w:t>计费标准</w:t>
            </w:r>
          </w:p>
        </w:tc>
        <w:tc>
          <w:tcPr>
            <w:tcW w:w="2606" w:type="dxa"/>
            <w:tcBorders>
              <w:tl2br w:val="nil"/>
              <w:tr2bl w:val="nil"/>
            </w:tcBorders>
            <w:noWrap/>
            <w:vAlign w:val="center"/>
          </w:tcPr>
          <w:p w14:paraId="4FED13EE">
            <w:pPr>
              <w:widowControl/>
              <w:spacing w:line="560" w:lineRule="exact"/>
              <w:jc w:val="center"/>
              <w:rPr>
                <w:rFonts w:hint="eastAsia" w:ascii="CESI仿宋-GB13000" w:hAnsi="CESI仿宋-GB13000" w:eastAsia="CESI仿宋-GB13000" w:cs="CESI仿宋-GB13000"/>
                <w:b/>
                <w:bCs/>
                <w:color w:val="000000" w:themeColor="text1"/>
                <w:sz w:val="26"/>
                <w:szCs w:val="26"/>
                <w14:textFill>
                  <w14:solidFill>
                    <w14:schemeClr w14:val="tx1"/>
                  </w14:solidFill>
                </w14:textFill>
              </w:rPr>
            </w:pPr>
            <w:r>
              <w:rPr>
                <w:rFonts w:hint="eastAsia" w:ascii="CESI仿宋-GB13000" w:hAnsi="CESI仿宋-GB13000" w:eastAsia="CESI仿宋-GB13000" w:cs="CESI仿宋-GB13000"/>
                <w:b/>
                <w:bCs/>
                <w:color w:val="000000" w:themeColor="text1"/>
                <w:sz w:val="26"/>
                <w:szCs w:val="26"/>
                <w14:textFill>
                  <w14:solidFill>
                    <w14:schemeClr w14:val="tx1"/>
                  </w14:solidFill>
                </w14:textFill>
              </w:rPr>
              <w:t>单价</w:t>
            </w:r>
          </w:p>
          <w:p w14:paraId="66A69B07">
            <w:pPr>
              <w:widowControl/>
              <w:spacing w:line="560" w:lineRule="exact"/>
              <w:jc w:val="center"/>
              <w:rPr>
                <w:rFonts w:hint="eastAsia" w:ascii="CESI仿宋-GB13000" w:hAnsi="CESI仿宋-GB13000" w:eastAsia="CESI仿宋-GB13000" w:cs="CESI仿宋-GB13000"/>
                <w:b/>
                <w:bCs/>
                <w:color w:val="000000" w:themeColor="text1"/>
                <w:sz w:val="26"/>
                <w:szCs w:val="26"/>
                <w14:textFill>
                  <w14:solidFill>
                    <w14:schemeClr w14:val="tx1"/>
                  </w14:solidFill>
                </w14:textFill>
              </w:rPr>
            </w:pPr>
            <w:r>
              <w:rPr>
                <w:rFonts w:hint="eastAsia" w:ascii="CESI仿宋-GB13000" w:hAnsi="CESI仿宋-GB13000" w:eastAsia="CESI仿宋-GB13000" w:cs="CESI仿宋-GB13000"/>
                <w:b/>
                <w:bCs/>
                <w:color w:val="000000" w:themeColor="text1"/>
                <w:sz w:val="26"/>
                <w:szCs w:val="26"/>
                <w14:textFill>
                  <w14:solidFill>
                    <w14:schemeClr w14:val="tx1"/>
                  </w14:solidFill>
                </w14:textFill>
              </w:rPr>
              <w:t>（人民币 元/天/艘）</w:t>
            </w:r>
          </w:p>
        </w:tc>
        <w:tc>
          <w:tcPr>
            <w:tcW w:w="1926" w:type="dxa"/>
            <w:vMerge w:val="continue"/>
            <w:tcBorders>
              <w:tl2br w:val="nil"/>
              <w:tr2bl w:val="nil"/>
            </w:tcBorders>
            <w:noWrap/>
            <w:vAlign w:val="center"/>
          </w:tcPr>
          <w:p w14:paraId="403B9841">
            <w:pPr>
              <w:rPr>
                <w:color w:val="000000" w:themeColor="text1"/>
                <w:sz w:val="26"/>
                <w:szCs w:val="26"/>
                <w14:textFill>
                  <w14:solidFill>
                    <w14:schemeClr w14:val="tx1"/>
                  </w14:solidFill>
                </w14:textFill>
              </w:rPr>
            </w:pPr>
          </w:p>
        </w:tc>
      </w:tr>
      <w:tr w14:paraId="63AB6A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73" w:type="dxa"/>
            <w:tcBorders>
              <w:tl2br w:val="nil"/>
              <w:tr2bl w:val="nil"/>
            </w:tcBorders>
            <w:noWrap/>
            <w:vAlign w:val="center"/>
          </w:tcPr>
          <w:p w14:paraId="23221494">
            <w:pPr>
              <w:widowControl/>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1</w:t>
            </w:r>
          </w:p>
        </w:tc>
        <w:tc>
          <w:tcPr>
            <w:tcW w:w="2400" w:type="dxa"/>
            <w:tcBorders>
              <w:tl2br w:val="nil"/>
              <w:tr2bl w:val="nil"/>
            </w:tcBorders>
            <w:noWrap/>
            <w:vAlign w:val="center"/>
          </w:tcPr>
          <w:p w14:paraId="3D6A9E68">
            <w:pPr>
              <w:pStyle w:val="60"/>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25以下</w:t>
            </w:r>
          </w:p>
        </w:tc>
        <w:tc>
          <w:tcPr>
            <w:tcW w:w="1923" w:type="dxa"/>
            <w:tcBorders>
              <w:tl2br w:val="nil"/>
              <w:tr2bl w:val="nil"/>
            </w:tcBorders>
            <w:noWrap/>
            <w:vAlign w:val="center"/>
          </w:tcPr>
          <w:p w14:paraId="63FA5DC1">
            <w:pPr>
              <w:pStyle w:val="66"/>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元/天/艘</w:t>
            </w:r>
          </w:p>
        </w:tc>
        <w:tc>
          <w:tcPr>
            <w:tcW w:w="2606" w:type="dxa"/>
            <w:tcBorders>
              <w:tl2br w:val="nil"/>
              <w:tr2bl w:val="nil"/>
            </w:tcBorders>
            <w:noWrap/>
            <w:vAlign w:val="center"/>
          </w:tcPr>
          <w:p w14:paraId="32FBADFE">
            <w:pPr>
              <w:pStyle w:val="66"/>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p>
        </w:tc>
        <w:tc>
          <w:tcPr>
            <w:tcW w:w="1926" w:type="dxa"/>
            <w:vMerge w:val="restart"/>
            <w:tcBorders>
              <w:tl2br w:val="nil"/>
              <w:tr2bl w:val="nil"/>
            </w:tcBorders>
            <w:noWrap/>
            <w:vAlign w:val="center"/>
          </w:tcPr>
          <w:p w14:paraId="396B4BBF">
            <w:pPr>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拖船费用另议，产生的驾驶费包含加油费以及其它相关费用（据实结算）</w:t>
            </w:r>
          </w:p>
        </w:tc>
      </w:tr>
      <w:tr w14:paraId="6D5014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73" w:type="dxa"/>
            <w:tcBorders>
              <w:tl2br w:val="nil"/>
              <w:tr2bl w:val="nil"/>
            </w:tcBorders>
            <w:noWrap/>
            <w:vAlign w:val="center"/>
          </w:tcPr>
          <w:p w14:paraId="3E55D573">
            <w:pPr>
              <w:widowControl/>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2</w:t>
            </w:r>
          </w:p>
        </w:tc>
        <w:tc>
          <w:tcPr>
            <w:tcW w:w="2400" w:type="dxa"/>
            <w:tcBorders>
              <w:tl2br w:val="nil"/>
              <w:tr2bl w:val="nil"/>
            </w:tcBorders>
            <w:noWrap/>
            <w:vAlign w:val="center"/>
          </w:tcPr>
          <w:p w14:paraId="6510759F">
            <w:pPr>
              <w:pStyle w:val="62"/>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25（含）-50（不含）</w:t>
            </w:r>
          </w:p>
        </w:tc>
        <w:tc>
          <w:tcPr>
            <w:tcW w:w="1923" w:type="dxa"/>
            <w:tcBorders>
              <w:tl2br w:val="nil"/>
              <w:tr2bl w:val="nil"/>
            </w:tcBorders>
            <w:noWrap/>
            <w:vAlign w:val="center"/>
          </w:tcPr>
          <w:p w14:paraId="686D70D0">
            <w:pPr>
              <w:pStyle w:val="66"/>
              <w:spacing w:line="560" w:lineRule="exact"/>
              <w:jc w:val="center"/>
              <w:rPr>
                <w:rFonts w:hint="eastAsia" w:ascii="CESI仿宋-GB13000" w:hAnsi="CESI仿宋-GB13000" w:eastAsia="CESI仿宋-GB13000" w:cs="CESI仿宋-GB13000"/>
                <w:b/>
                <w:bCs/>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元/天/艘</w:t>
            </w:r>
          </w:p>
        </w:tc>
        <w:tc>
          <w:tcPr>
            <w:tcW w:w="2606" w:type="dxa"/>
            <w:tcBorders>
              <w:tl2br w:val="nil"/>
              <w:tr2bl w:val="nil"/>
            </w:tcBorders>
            <w:noWrap/>
            <w:vAlign w:val="center"/>
          </w:tcPr>
          <w:p w14:paraId="4F9ECDB3">
            <w:pPr>
              <w:widowControl/>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p>
        </w:tc>
        <w:tc>
          <w:tcPr>
            <w:tcW w:w="1926" w:type="dxa"/>
            <w:vMerge w:val="continue"/>
            <w:tcBorders>
              <w:tl2br w:val="nil"/>
              <w:tr2bl w:val="nil"/>
            </w:tcBorders>
            <w:noWrap/>
            <w:vAlign w:val="center"/>
          </w:tcPr>
          <w:p w14:paraId="59607E20">
            <w:pPr>
              <w:rPr>
                <w:color w:val="000000" w:themeColor="text1"/>
                <w:sz w:val="26"/>
                <w:szCs w:val="26"/>
                <w14:textFill>
                  <w14:solidFill>
                    <w14:schemeClr w14:val="tx1"/>
                  </w14:solidFill>
                </w14:textFill>
              </w:rPr>
            </w:pPr>
          </w:p>
        </w:tc>
      </w:tr>
      <w:tr w14:paraId="4642B4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73" w:type="dxa"/>
            <w:tcBorders>
              <w:tl2br w:val="nil"/>
              <w:tr2bl w:val="nil"/>
            </w:tcBorders>
            <w:noWrap/>
            <w:vAlign w:val="center"/>
          </w:tcPr>
          <w:p w14:paraId="7B843225">
            <w:pPr>
              <w:widowControl/>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3</w:t>
            </w:r>
          </w:p>
        </w:tc>
        <w:tc>
          <w:tcPr>
            <w:tcW w:w="2400" w:type="dxa"/>
            <w:tcBorders>
              <w:tl2br w:val="nil"/>
              <w:tr2bl w:val="nil"/>
            </w:tcBorders>
            <w:noWrap/>
            <w:vAlign w:val="center"/>
          </w:tcPr>
          <w:p w14:paraId="3ABB057A">
            <w:pPr>
              <w:pStyle w:val="65"/>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50（含）-80（不含）</w:t>
            </w:r>
          </w:p>
        </w:tc>
        <w:tc>
          <w:tcPr>
            <w:tcW w:w="1923" w:type="dxa"/>
            <w:tcBorders>
              <w:tl2br w:val="nil"/>
              <w:tr2bl w:val="nil"/>
            </w:tcBorders>
            <w:noWrap/>
            <w:vAlign w:val="center"/>
          </w:tcPr>
          <w:p w14:paraId="78739AFC">
            <w:pPr>
              <w:pStyle w:val="66"/>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元/天/艘</w:t>
            </w:r>
          </w:p>
        </w:tc>
        <w:tc>
          <w:tcPr>
            <w:tcW w:w="2606" w:type="dxa"/>
            <w:tcBorders>
              <w:tl2br w:val="nil"/>
              <w:tr2bl w:val="nil"/>
            </w:tcBorders>
            <w:noWrap/>
            <w:vAlign w:val="center"/>
          </w:tcPr>
          <w:p w14:paraId="1E995BF3">
            <w:pPr>
              <w:widowControl/>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p>
        </w:tc>
        <w:tc>
          <w:tcPr>
            <w:tcW w:w="1926" w:type="dxa"/>
            <w:vMerge w:val="continue"/>
            <w:tcBorders>
              <w:tl2br w:val="nil"/>
              <w:tr2bl w:val="nil"/>
            </w:tcBorders>
            <w:noWrap/>
            <w:vAlign w:val="center"/>
          </w:tcPr>
          <w:p w14:paraId="255F1EF2">
            <w:pPr>
              <w:rPr>
                <w:color w:val="000000" w:themeColor="text1"/>
                <w:sz w:val="26"/>
                <w:szCs w:val="26"/>
                <w14:textFill>
                  <w14:solidFill>
                    <w14:schemeClr w14:val="tx1"/>
                  </w14:solidFill>
                </w14:textFill>
              </w:rPr>
            </w:pPr>
          </w:p>
        </w:tc>
      </w:tr>
      <w:tr w14:paraId="43ADD7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73" w:type="dxa"/>
            <w:tcBorders>
              <w:tl2br w:val="nil"/>
              <w:tr2bl w:val="nil"/>
            </w:tcBorders>
            <w:noWrap/>
            <w:vAlign w:val="center"/>
          </w:tcPr>
          <w:p w14:paraId="03917B03">
            <w:pPr>
              <w:widowControl/>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4</w:t>
            </w:r>
          </w:p>
        </w:tc>
        <w:tc>
          <w:tcPr>
            <w:tcW w:w="2400" w:type="dxa"/>
            <w:tcBorders>
              <w:tl2br w:val="nil"/>
              <w:tr2bl w:val="nil"/>
            </w:tcBorders>
            <w:noWrap/>
            <w:vAlign w:val="center"/>
          </w:tcPr>
          <w:p w14:paraId="062526B5">
            <w:pPr>
              <w:pStyle w:val="66"/>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80（含）-100（不含）</w:t>
            </w:r>
          </w:p>
        </w:tc>
        <w:tc>
          <w:tcPr>
            <w:tcW w:w="1923" w:type="dxa"/>
            <w:tcBorders>
              <w:tl2br w:val="nil"/>
              <w:tr2bl w:val="nil"/>
            </w:tcBorders>
            <w:noWrap/>
            <w:vAlign w:val="center"/>
          </w:tcPr>
          <w:p w14:paraId="0EA028E2">
            <w:pPr>
              <w:pStyle w:val="66"/>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元/天/艘</w:t>
            </w:r>
          </w:p>
        </w:tc>
        <w:tc>
          <w:tcPr>
            <w:tcW w:w="2606" w:type="dxa"/>
            <w:tcBorders>
              <w:tl2br w:val="nil"/>
              <w:tr2bl w:val="nil"/>
            </w:tcBorders>
            <w:noWrap/>
            <w:vAlign w:val="center"/>
          </w:tcPr>
          <w:p w14:paraId="1C3C44F8">
            <w:pPr>
              <w:widowControl/>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p>
        </w:tc>
        <w:tc>
          <w:tcPr>
            <w:tcW w:w="1926" w:type="dxa"/>
            <w:vMerge w:val="continue"/>
            <w:tcBorders>
              <w:tl2br w:val="nil"/>
              <w:tr2bl w:val="nil"/>
            </w:tcBorders>
            <w:noWrap/>
            <w:vAlign w:val="center"/>
          </w:tcPr>
          <w:p w14:paraId="487DAA75">
            <w:pPr>
              <w:rPr>
                <w:color w:val="000000" w:themeColor="text1"/>
                <w:sz w:val="26"/>
                <w:szCs w:val="26"/>
                <w14:textFill>
                  <w14:solidFill>
                    <w14:schemeClr w14:val="tx1"/>
                  </w14:solidFill>
                </w14:textFill>
              </w:rPr>
            </w:pPr>
          </w:p>
        </w:tc>
      </w:tr>
      <w:tr w14:paraId="0957C5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73" w:type="dxa"/>
            <w:tcBorders>
              <w:tl2br w:val="nil"/>
              <w:tr2bl w:val="nil"/>
            </w:tcBorders>
            <w:noWrap/>
            <w:vAlign w:val="center"/>
          </w:tcPr>
          <w:p w14:paraId="6B7856EC">
            <w:pPr>
              <w:widowControl/>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5</w:t>
            </w:r>
          </w:p>
        </w:tc>
        <w:tc>
          <w:tcPr>
            <w:tcW w:w="2400" w:type="dxa"/>
            <w:tcBorders>
              <w:tl2br w:val="nil"/>
              <w:tr2bl w:val="nil"/>
            </w:tcBorders>
            <w:noWrap/>
            <w:vAlign w:val="center"/>
          </w:tcPr>
          <w:p w14:paraId="6655CC16">
            <w:pPr>
              <w:pStyle w:val="66"/>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100（含）以上</w:t>
            </w:r>
          </w:p>
        </w:tc>
        <w:tc>
          <w:tcPr>
            <w:tcW w:w="1923" w:type="dxa"/>
            <w:tcBorders>
              <w:tl2br w:val="nil"/>
              <w:tr2bl w:val="nil"/>
            </w:tcBorders>
            <w:noWrap/>
            <w:vAlign w:val="center"/>
          </w:tcPr>
          <w:p w14:paraId="08FF9798">
            <w:pPr>
              <w:pStyle w:val="66"/>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元/天/艘</w:t>
            </w:r>
          </w:p>
        </w:tc>
        <w:tc>
          <w:tcPr>
            <w:tcW w:w="2606" w:type="dxa"/>
            <w:tcBorders>
              <w:tl2br w:val="nil"/>
              <w:tr2bl w:val="nil"/>
            </w:tcBorders>
            <w:noWrap/>
            <w:vAlign w:val="center"/>
          </w:tcPr>
          <w:p w14:paraId="20D0886C">
            <w:pPr>
              <w:widowControl/>
              <w:spacing w:line="560" w:lineRule="exact"/>
              <w:jc w:val="center"/>
              <w:rPr>
                <w:rFonts w:hint="eastAsia" w:ascii="CESI仿宋-GB13000" w:hAnsi="CESI仿宋-GB13000" w:eastAsia="CESI仿宋-GB13000" w:cs="CESI仿宋-GB13000"/>
                <w:color w:val="000000" w:themeColor="text1"/>
                <w:sz w:val="26"/>
                <w:szCs w:val="26"/>
                <w14:textFill>
                  <w14:solidFill>
                    <w14:schemeClr w14:val="tx1"/>
                  </w14:solidFill>
                </w14:textFill>
              </w:rPr>
            </w:pPr>
          </w:p>
        </w:tc>
        <w:tc>
          <w:tcPr>
            <w:tcW w:w="1926" w:type="dxa"/>
            <w:vMerge w:val="continue"/>
            <w:tcBorders>
              <w:tl2br w:val="nil"/>
              <w:tr2bl w:val="nil"/>
            </w:tcBorders>
            <w:noWrap/>
            <w:vAlign w:val="center"/>
          </w:tcPr>
          <w:p w14:paraId="48A4DDC1">
            <w:pPr>
              <w:rPr>
                <w:color w:val="000000" w:themeColor="text1"/>
                <w:sz w:val="26"/>
                <w:szCs w:val="26"/>
                <w14:textFill>
                  <w14:solidFill>
                    <w14:schemeClr w14:val="tx1"/>
                  </w14:solidFill>
                </w14:textFill>
              </w:rPr>
            </w:pPr>
          </w:p>
        </w:tc>
      </w:tr>
    </w:tbl>
    <w:p w14:paraId="627A6D8A">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2．乙方提供相关装卸、搬运、运输等服务的，应逐一详细列明收费标准，经甲方确认后作为本协议的附件，并予张贴公示。</w:t>
      </w:r>
    </w:p>
    <w:p w14:paraId="511305D4">
      <w:pPr>
        <w:spacing w:line="560" w:lineRule="exact"/>
        <w:ind w:firstLine="480"/>
        <w:rPr>
          <w:rFonts w:hint="eastAsia" w:ascii="方正楷体_GBK" w:hAnsi="方正楷体_GBK" w:eastAsia="方正楷体_GBK" w:cs="方正楷体_GBK"/>
          <w:color w:val="000000" w:themeColor="text1"/>
          <w:sz w:val="26"/>
          <w:szCs w:val="26"/>
          <w14:textFill>
            <w14:solidFill>
              <w14:schemeClr w14:val="tx1"/>
            </w14:solidFill>
          </w14:textFill>
        </w:rPr>
      </w:pPr>
      <w:r>
        <w:rPr>
          <w:rFonts w:hint="eastAsia" w:ascii="方正楷体_GBK" w:hAnsi="方正楷体_GBK" w:eastAsia="方正楷体_GBK" w:cs="方正楷体_GBK"/>
          <w:color w:val="000000" w:themeColor="text1"/>
          <w:sz w:val="26"/>
          <w:szCs w:val="26"/>
          <w14:textFill>
            <w14:solidFill>
              <w14:schemeClr w14:val="tx1"/>
            </w14:solidFill>
          </w14:textFill>
        </w:rPr>
        <w:t>（二）结算方式。</w:t>
      </w:r>
    </w:p>
    <w:p w14:paraId="61C0D3C3">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1.协议签订后，每季度结算一次所有船舶所产生的保管费用。</w:t>
      </w:r>
    </w:p>
    <w:p w14:paraId="067F0A41">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2.本项目按季度据实结算，每次款项支付前，乙方须提交费用清单，经甲方确认后，乙方开具与款项金额相等的正规增值税专用发票，甲方自收到发票后10个工作日内将资金支付到协议约定的乙方账户。</w:t>
      </w:r>
    </w:p>
    <w:p w14:paraId="1E315BC5">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3.结算仓储等费用时，乙方应向甲方提供费用清单。</w:t>
      </w:r>
    </w:p>
    <w:p w14:paraId="5B5BDE14">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4.结算金额＝∑对应船舶保管费单价×实际保管量。</w:t>
      </w:r>
    </w:p>
    <w:p w14:paraId="15D771F3">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5.支付方式：采用支票、银行汇付（含电汇）等形式。</w:t>
      </w:r>
    </w:p>
    <w:p w14:paraId="16685716">
      <w:pPr>
        <w:spacing w:line="560" w:lineRule="exact"/>
        <w:ind w:firstLine="660"/>
        <w:rPr>
          <w:rFonts w:hint="eastAsia" w:ascii="CESI黑体-GB13000" w:hAnsi="CESI黑体-GB13000" w:eastAsia="CESI黑体-GB13000" w:cs="CESI黑体-GB13000"/>
          <w:color w:val="000000" w:themeColor="text1"/>
          <w:sz w:val="26"/>
          <w:szCs w:val="26"/>
          <w14:textFill>
            <w14:solidFill>
              <w14:schemeClr w14:val="tx1"/>
            </w14:solidFill>
          </w14:textFill>
        </w:rPr>
      </w:pPr>
      <w:r>
        <w:rPr>
          <w:rFonts w:hint="eastAsia" w:ascii="CESI黑体-GB13000" w:hAnsi="CESI黑体-GB13000" w:eastAsia="CESI黑体-GB13000" w:cs="CESI黑体-GB13000"/>
          <w:color w:val="000000" w:themeColor="text1"/>
          <w:sz w:val="26"/>
          <w:szCs w:val="26"/>
          <w14:textFill>
            <w14:solidFill>
              <w14:schemeClr w14:val="tx1"/>
            </w14:solidFill>
          </w14:textFill>
        </w:rPr>
        <w:t>第三条　涉案财物入库</w:t>
      </w:r>
    </w:p>
    <w:p w14:paraId="3AF5D1A6">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（一）入库责任保全：双方以“原样保管”为责任准则，即乙方接受甲方委托保管的涉案财物，须确保入库状态和出库状态的一致性。</w:t>
      </w:r>
    </w:p>
    <w:p w14:paraId="21CD09CD">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二）甲方与乙方办理涉案财物入库手续时，双方应当场共同清点，确定、核对入库涉案财物的数量（重量）、规格、品名、型号、包装方式、货物（物品）瑕疵情况等，确保入库清单登记内容与实际存放的涉案财物一致，由双方在入库清单上签字确认。</w:t>
      </w:r>
    </w:p>
    <w:p w14:paraId="11688776">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三）涉案财物检验检疫、鉴定结论与入库清单登记内容不一致的，以检验检疫、鉴定结论为准，甲方应会同乙方对入库清单登记内容进行核实更正；无法对入库清单进行更正的，应另行书面说明，由双方签字确认。有关情况应及时书面通报甲方财务部门。</w:t>
      </w:r>
    </w:p>
    <w:p w14:paraId="56098F1F">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（四）对贵重、敏感涉案财物，双方应在入库清点时，进行称重、测量尺寸、拍照、录像等证据固定，同时对涉案财物总貌和细部特征进行固定。</w:t>
      </w:r>
    </w:p>
    <w:p w14:paraId="27B2130A">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（五）乙方根据保管需要对入库涉案财物进行施封保管的，施封手续应由甲方业务、办案部门与乙方共同完成，封志的开拆及重新施封须由双方到场并签名确认，乙方应对相关施封、拆封记录进行登记。</w:t>
      </w:r>
    </w:p>
    <w:p w14:paraId="7E0288B6">
      <w:pPr>
        <w:spacing w:line="560" w:lineRule="exact"/>
        <w:ind w:firstLine="660"/>
        <w:rPr>
          <w:rFonts w:hint="eastAsia" w:ascii="CESI黑体-GB13000" w:hAnsi="CESI黑体-GB13000" w:eastAsia="CESI黑体-GB13000" w:cs="CESI黑体-GB13000"/>
          <w:color w:val="000000" w:themeColor="text1"/>
          <w:sz w:val="26"/>
          <w:szCs w:val="26"/>
          <w14:textFill>
            <w14:solidFill>
              <w14:schemeClr w14:val="tx1"/>
            </w14:solidFill>
          </w14:textFill>
        </w:rPr>
      </w:pPr>
      <w:r>
        <w:rPr>
          <w:rFonts w:hint="eastAsia" w:ascii="CESI黑体-GB13000" w:hAnsi="CESI黑体-GB13000" w:eastAsia="CESI黑体-GB13000" w:cs="CESI黑体-GB13000"/>
          <w:color w:val="000000" w:themeColor="text1"/>
          <w:sz w:val="26"/>
          <w:szCs w:val="26"/>
          <w14:textFill>
            <w14:solidFill>
              <w14:schemeClr w14:val="tx1"/>
            </w14:solidFill>
          </w14:textFill>
        </w:rPr>
        <w:t>第四条　涉案财物保管</w:t>
      </w:r>
    </w:p>
    <w:p w14:paraId="4CA7437D">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一）乙方应具有仓储业务经营经验以及良好的资信和服务质量，有完善的仓储管理制度和防灾应急机制，严格按照有关制度开展涉案财物保管工作；具有必要的仓储信息化管理系统及应用技术人员，做好仓库日常管理工作。</w:t>
      </w:r>
    </w:p>
    <w:p w14:paraId="067096F3">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二）乙方应在涉案财物仓库（库区）中安装必要的闭路电视监控系统，视频监控资料应保存半年以上；加强消防知识培训，配备必要的消防设施，定期进行消防演练；加强仓库日常巡查，防范火灾、失窃等安全事故。</w:t>
      </w:r>
    </w:p>
    <w:p w14:paraId="452BB6FB">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三）乙方应对涉案财物进行分类或分案保管，其中，金银珠宝、文物、濒危动植物及其制品等贵重、特殊物品应配备专用设备或设置专用库区存放。对有特殊保管需要的涉案财物，由甲方业务、办案部门与乙方共同商定保管措施，并由乙方书面向甲方财务部门报备。</w:t>
      </w:r>
    </w:p>
    <w:p w14:paraId="62F43776">
      <w:pPr>
        <w:spacing w:line="560" w:lineRule="exact"/>
        <w:ind w:firstLine="47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四）涉案财物出现数量不符、单货不符或品质不符等情况的，乙方应及时与甲方业务、办案部门联系核实，共同对实物及有关单据进行核对并研究提出处理意见，有关处理意见应于15个工作日内报甲方财务部门备案，如需更改入库单的应履行必要的审批手续，甲方财务部门可视情况进行复核、实地盘查。</w:t>
      </w:r>
    </w:p>
    <w:p w14:paraId="6AED7BD3">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（五）甲方作拍卖、变卖处理的涉案财物，应在价格评估前将拍卖、变卖清单发送至乙方进行核对，乙方如发现单货不一致的情况，应立即将有关情况书面向甲方反馈，以便甲方及时作出更改。</w:t>
      </w:r>
    </w:p>
    <w:p w14:paraId="507B9891">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六）乙方应加强对仓库的巡查工作，涉案财物存放期间发生受潮、变质、腐烂、虫害、损耗、失窃等异常情况的，乙方应及时通知甲方财务部门和相关业务、办案部门到现场核实确认，做好书面记录及保留货样、拍照、录像等证据固定工作，对于火灾、失窃事件，应及时向消防、公安部门报案。</w:t>
      </w:r>
    </w:p>
    <w:p w14:paraId="7CAB5FED">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（七）乙方应对涉案财物出入库严格把关，每次出入库人员必须登记留档备查。</w:t>
      </w:r>
    </w:p>
    <w:p w14:paraId="031C3FE7">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（八）乙方应根据甲方要求通过“互联网+海关”平台完成保管涉案财物的入出库管理和信息推送。</w:t>
      </w:r>
    </w:p>
    <w:p w14:paraId="4F179BF1">
      <w:pPr>
        <w:spacing w:line="560" w:lineRule="exact"/>
        <w:ind w:firstLine="660"/>
        <w:rPr>
          <w:rFonts w:hint="eastAsia" w:ascii="CESI黑体-GB13000" w:hAnsi="CESI黑体-GB13000" w:eastAsia="CESI黑体-GB13000" w:cs="CESI黑体-GB13000"/>
          <w:color w:val="000000" w:themeColor="text1"/>
          <w:sz w:val="26"/>
          <w:szCs w:val="26"/>
          <w14:textFill>
            <w14:solidFill>
              <w14:schemeClr w14:val="tx1"/>
            </w14:solidFill>
          </w14:textFill>
        </w:rPr>
      </w:pPr>
      <w:r>
        <w:rPr>
          <w:rFonts w:hint="eastAsia" w:ascii="CESI黑体-GB13000" w:hAnsi="CESI黑体-GB13000" w:eastAsia="CESI黑体-GB13000" w:cs="CESI黑体-GB13000"/>
          <w:color w:val="000000" w:themeColor="text1"/>
          <w:sz w:val="26"/>
          <w:szCs w:val="26"/>
          <w14:textFill>
            <w14:solidFill>
              <w14:schemeClr w14:val="tx1"/>
            </w14:solidFill>
          </w14:textFill>
        </w:rPr>
        <w:t>第五条　涉案财物出库</w:t>
      </w:r>
    </w:p>
    <w:p w14:paraId="70D51B92">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（一）办理涉案财物出库业务的单位或个人应凭甲方开具的出库单证与乙方办理出库手续。</w:t>
      </w:r>
    </w:p>
    <w:p w14:paraId="12D2EE7E">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（二）涉案财物出库时，乙方应认真核对出库清单与实物，确认账实相符后方能办理出库手续，如有不符情况应立即向甲方反馈。</w:t>
      </w:r>
    </w:p>
    <w:p w14:paraId="3CE2A3FC">
      <w:pPr>
        <w:spacing w:line="560" w:lineRule="exact"/>
        <w:ind w:firstLine="660"/>
        <w:rPr>
          <w:rFonts w:hint="eastAsia" w:ascii="CESI黑体-GB13000" w:hAnsi="CESI黑体-GB13000" w:eastAsia="CESI黑体-GB13000" w:cs="CESI黑体-GB13000"/>
          <w:color w:val="000000" w:themeColor="text1"/>
          <w:sz w:val="26"/>
          <w:szCs w:val="26"/>
          <w14:textFill>
            <w14:solidFill>
              <w14:schemeClr w14:val="tx1"/>
            </w14:solidFill>
          </w14:textFill>
        </w:rPr>
      </w:pPr>
      <w:r>
        <w:rPr>
          <w:rFonts w:hint="eastAsia" w:ascii="CESI黑体-GB13000" w:hAnsi="CESI黑体-GB13000" w:eastAsia="CESI黑体-GB13000" w:cs="CESI黑体-GB13000"/>
          <w:color w:val="000000" w:themeColor="text1"/>
          <w:sz w:val="26"/>
          <w:szCs w:val="26"/>
          <w14:textFill>
            <w14:solidFill>
              <w14:schemeClr w14:val="tx1"/>
            </w14:solidFill>
          </w14:textFill>
        </w:rPr>
        <w:t>第六条　乙方应积极配合甲方开展涉案财物商检、取样、评估勘验、展示等工作。</w:t>
      </w:r>
    </w:p>
    <w:p w14:paraId="7FA2C94A">
      <w:pPr>
        <w:spacing w:line="560" w:lineRule="exact"/>
        <w:ind w:left="660"/>
        <w:rPr>
          <w:rFonts w:hint="eastAsia" w:ascii="CESI黑体-GB13000" w:hAnsi="CESI黑体-GB13000" w:eastAsia="CESI黑体-GB13000" w:cs="CESI黑体-GB13000"/>
          <w:color w:val="000000" w:themeColor="text1"/>
          <w:sz w:val="26"/>
          <w:szCs w:val="26"/>
          <w14:textFill>
            <w14:solidFill>
              <w14:schemeClr w14:val="tx1"/>
            </w14:solidFill>
          </w14:textFill>
        </w:rPr>
      </w:pPr>
      <w:r>
        <w:rPr>
          <w:rFonts w:hint="eastAsia" w:ascii="CESI黑体-GB13000" w:hAnsi="CESI黑体-GB13000" w:eastAsia="CESI黑体-GB13000" w:cs="CESI黑体-GB13000"/>
          <w:color w:val="000000" w:themeColor="text1"/>
          <w:sz w:val="26"/>
          <w:szCs w:val="26"/>
          <w14:textFill>
            <w14:solidFill>
              <w14:schemeClr w14:val="tx1"/>
            </w14:solidFill>
          </w14:textFill>
        </w:rPr>
        <w:t>第七条 对账制度</w:t>
      </w:r>
    </w:p>
    <w:p w14:paraId="7C9A812D">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甲方依据涉案财物账册每季度与乙方对涉案财物进行检查、清点和对账，确保账、物相符，乙方应予以配合。</w:t>
      </w:r>
    </w:p>
    <w:p w14:paraId="6D372066">
      <w:pPr>
        <w:spacing w:line="560" w:lineRule="exact"/>
        <w:ind w:firstLine="660"/>
        <w:rPr>
          <w:rFonts w:hint="eastAsia" w:ascii="CESI黑体-GB13000" w:hAnsi="CESI黑体-GB13000" w:eastAsia="CESI黑体-GB13000" w:cs="CESI黑体-GB13000"/>
          <w:color w:val="000000" w:themeColor="text1"/>
          <w:sz w:val="26"/>
          <w:szCs w:val="26"/>
          <w14:textFill>
            <w14:solidFill>
              <w14:schemeClr w14:val="tx1"/>
            </w14:solidFill>
          </w14:textFill>
        </w:rPr>
      </w:pPr>
      <w:r>
        <w:rPr>
          <w:rFonts w:hint="eastAsia" w:ascii="CESI黑体-GB13000" w:hAnsi="CESI黑体-GB13000" w:eastAsia="CESI黑体-GB13000" w:cs="CESI黑体-GB13000"/>
          <w:color w:val="000000" w:themeColor="text1"/>
          <w:sz w:val="26"/>
          <w:szCs w:val="26"/>
          <w14:textFill>
            <w14:solidFill>
              <w14:schemeClr w14:val="tx1"/>
            </w14:solidFill>
          </w14:textFill>
        </w:rPr>
        <w:t>第八条　责任条款</w:t>
      </w:r>
    </w:p>
    <w:p w14:paraId="341B49BD">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一）甲方财务部门负责涉案财物职能管理工作，乙方负责具体的保管工作。甲方财务部门应不定期对乙方仓库的涉案财物保管环境、设备配置、仓库管理操作规范等情况进行巡查，会同业务、办案部门对乙方履行委托存储、保管协议情况进行监督，督促乙方加强日常管理，乙方应配合做好相关工作。</w:t>
      </w:r>
    </w:p>
    <w:p w14:paraId="719CF277">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（二）涉案财物在存放期间遭受任何损失，乙方均应立即将事故情况通知甲方，及时采取补救措施，并向甲方作出事故情况书面报告，提供事故详情及有效证明文件。</w:t>
      </w:r>
    </w:p>
    <w:p w14:paraId="3FB7D32C">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（三）涉案财物损失责任认定：</w:t>
      </w:r>
    </w:p>
    <w:p w14:paraId="752C7DE3">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1．涉案财物因不可抗力因素造成的损失，乙方不承担赔偿责任；但事故发生后，如因乙方未及时采取妥善的补救措施而导致损失扩大，乙方应承担相应损失的赔偿责任。</w:t>
      </w:r>
    </w:p>
    <w:p w14:paraId="0C087F8E">
      <w:pPr>
        <w:spacing w:line="560" w:lineRule="exact"/>
        <w:ind w:firstLine="480"/>
        <w:jc w:val="left"/>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2．涉案财物因不可抗力以外因素造成的损失，视具体情况认定责任：因乙方保管不善发生灭失、短少、串换、受潮、变质、腐烂、虫害、损耗、失窃或参与配合他人盗窃等事故，乙方不得收取受损涉案财物的保管费用，同时，甲方有权单方面终止合同，追究乙方法律责任，乙方还需要按照损失货物价值的30%向甲方缴纳违约金，并根据甲方要求按以下其中一种方式进行赔偿：</w:t>
      </w:r>
    </w:p>
    <w:p w14:paraId="13FA28CA">
      <w:pPr>
        <w:spacing w:line="560" w:lineRule="exact"/>
        <w:ind w:firstLine="56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（1）赔偿相同的财物；</w:t>
      </w:r>
    </w:p>
    <w:p w14:paraId="67611853">
      <w:pPr>
        <w:spacing w:line="560" w:lineRule="exact"/>
        <w:ind w:firstLine="56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（2）按江门市价格认证中心评估价赔偿；</w:t>
      </w:r>
    </w:p>
    <w:p w14:paraId="7D75DA9C">
      <w:pPr>
        <w:spacing w:line="560" w:lineRule="exact"/>
        <w:ind w:firstLine="56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（3）损失部分按余货变卖的实际成交价折算赔偿。</w:t>
      </w:r>
    </w:p>
    <w:p w14:paraId="383D74EE">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3．有下列情况之一的，乙方不承担赔偿责任：</w:t>
      </w:r>
    </w:p>
    <w:p w14:paraId="2477BDBF">
      <w:pPr>
        <w:spacing w:line="560" w:lineRule="exact"/>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 xml:space="preserve">    （1）涉案财物已临近失效期或有异状，乙方已按协议规定通知甲方，甲方仍未及时处理而造成损失的；</w:t>
      </w:r>
    </w:p>
    <w:p w14:paraId="6EBF62C8">
      <w:pPr>
        <w:spacing w:line="560" w:lineRule="exact"/>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 xml:space="preserve">    （2）因自然灾害等不可抗力造成损失的；</w:t>
      </w:r>
    </w:p>
    <w:p w14:paraId="43367B5E">
      <w:pPr>
        <w:spacing w:line="560" w:lineRule="exact"/>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 xml:space="preserve">    （3）按照甲方要求实施的行为造成损失的；</w:t>
      </w:r>
    </w:p>
    <w:p w14:paraId="725E5E7B">
      <w:pPr>
        <w:spacing w:line="560" w:lineRule="exact"/>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 xml:space="preserve">    （4）法律有明确规定的。</w:t>
      </w:r>
    </w:p>
    <w:p w14:paraId="71DF8CBC">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4．乙方发生违约、违规、违法等行为的，甲方有权解除协议，乙方应赔偿由此给甲方造成的损失。</w:t>
      </w:r>
    </w:p>
    <w:p w14:paraId="5F86934A">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5．乙方需要结业的，乙方应在结业前通知甲方，甲方按实际保管费用结算支付给乙方。另甲方接到乙方结业通知起，在3个月内将委托乙方保管的船舶作离场处理，</w:t>
      </w:r>
      <w:r>
        <w:rPr>
          <w:rFonts w:hint="eastAsia" w:ascii="仿宋" w:hAnsi="仿宋" w:eastAsia="仿宋" w:cs="仿宋"/>
          <w:color w:val="000000" w:themeColor="text1"/>
          <w:sz w:val="26"/>
          <w:szCs w:val="26"/>
          <w14:textFill>
            <w14:solidFill>
              <w14:schemeClr w14:val="tx1"/>
            </w14:solidFill>
          </w14:textFill>
        </w:rPr>
        <w:t>船舶离场费用由乙方承担，乙方还须赔偿</w:t>
      </w:r>
      <w:r>
        <w:rPr>
          <w:rFonts w:hint="eastAsia" w:ascii="CESI仿宋-GB13000" w:hAnsi="CESI仿宋-GB13000" w:eastAsia="CESI仿宋-GB13000" w:cs="CESI仿宋-GB13000"/>
          <w:color w:val="000000" w:themeColor="text1"/>
          <w:sz w:val="26"/>
          <w:szCs w:val="26"/>
          <w14:textFill>
            <w14:solidFill>
              <w14:schemeClr w14:val="tx1"/>
            </w14:solidFill>
          </w14:textFill>
        </w:rPr>
        <w:t>由此给甲方造成的损失。</w:t>
      </w:r>
    </w:p>
    <w:p w14:paraId="1D19CF7D">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6．存储双方在财物入库时就保管责任作特殊约定的，按约定内容界定责任。</w:t>
      </w:r>
    </w:p>
    <w:p w14:paraId="20DD0116">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 xml:space="preserve">7.机构改革导致的保管变更： </w:t>
      </w:r>
    </w:p>
    <w:p w14:paraId="77B2C71E">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（1）如甲方因国家政策调整、机构改革等原因，导致甲方不再具备委托乙方保管涉案船舶的职能或需求，甲方应及时书面通知乙方。</w:t>
      </w:r>
    </w:p>
    <w:p w14:paraId="6F2251CA">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（2）甲方在通知乙方后，应与乙方协商解决船舶保管的相关事宜，包括但不限于船舶的交接、费用结算等。</w:t>
      </w:r>
    </w:p>
    <w:p w14:paraId="4EB24229">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（3）乙方在接到甲方通知后，应积极配合甲方完成船舶交接工作，确保船舶安全、完整的移交给甲方或甲方指定的其他单位。</w:t>
      </w:r>
    </w:p>
    <w:p w14:paraId="6833BFDD">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（4）本协议因甲方机构改革原因终止的，双方应根据本协议约定办理相关手续，互不追究违约责任。</w:t>
      </w:r>
    </w:p>
    <w:p w14:paraId="7A20BBDE">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（5）本条款的约定不影响双方依据本协议其他条款所享有的权利和承担的义务。</w:t>
      </w:r>
    </w:p>
    <w:p w14:paraId="34A21858">
      <w:pPr>
        <w:pStyle w:val="52"/>
        <w:spacing w:line="560" w:lineRule="exact"/>
        <w:ind w:firstLine="660"/>
        <w:rPr>
          <w:rFonts w:ascii="方正黑体_GBK" w:eastAsia="方正黑体_GBK"/>
          <w:color w:val="000000" w:themeColor="text1"/>
          <w:sz w:val="26"/>
          <w:szCs w:val="26"/>
          <w14:textFill>
            <w14:solidFill>
              <w14:schemeClr w14:val="tx1"/>
            </w14:solidFill>
          </w14:textFill>
        </w:rPr>
      </w:pPr>
      <w:r>
        <w:rPr>
          <w:rFonts w:hint="eastAsia" w:ascii="CESI黑体-GB13000" w:hAnsi="CESI黑体-GB13000" w:eastAsia="CESI黑体-GB13000" w:cs="CESI黑体-GB13000"/>
          <w:color w:val="000000" w:themeColor="text1"/>
          <w:sz w:val="26"/>
          <w:szCs w:val="26"/>
          <w14:textFill>
            <w14:solidFill>
              <w14:schemeClr w14:val="tx1"/>
            </w14:solidFill>
          </w14:textFill>
        </w:rPr>
        <w:t xml:space="preserve">第九条  </w:t>
      </w:r>
      <w:r>
        <w:rPr>
          <w:rFonts w:hint="eastAsia" w:ascii="方正黑体_GBK" w:eastAsia="方正黑体_GBK"/>
          <w:color w:val="000000" w:themeColor="text1"/>
          <w:sz w:val="26"/>
          <w:szCs w:val="26"/>
          <w14:textFill>
            <w14:solidFill>
              <w14:schemeClr w14:val="tx1"/>
            </w14:solidFill>
          </w14:textFill>
        </w:rPr>
        <w:t>协议期限</w:t>
      </w:r>
    </w:p>
    <w:p w14:paraId="728A9570">
      <w:pPr>
        <w:spacing w:line="560" w:lineRule="exact"/>
        <w:ind w:firstLine="66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本协议一式两份，甲、乙双方各执一份。本协议经甲乙双方盖章及法定代表人或授权代表签字后生效。</w:t>
      </w:r>
    </w:p>
    <w:p w14:paraId="0EE8FCED">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本协议有效期为</w:t>
      </w:r>
      <w:r>
        <w:rPr>
          <w:rFonts w:ascii="CESI仿宋-GB13000" w:hAnsi="CESI仿宋-GB13000" w:eastAsia="CESI仿宋-GB13000" w:cs="CESI仿宋-GB13000"/>
          <w:color w:val="000000" w:themeColor="text1"/>
          <w:sz w:val="26"/>
          <w:szCs w:val="26"/>
          <w:u w:val="single"/>
          <w14:textFill>
            <w14:solidFill>
              <w14:schemeClr w14:val="tx1"/>
            </w14:solidFill>
          </w14:textFill>
        </w:rPr>
        <w:t>2026</w:t>
      </w:r>
      <w:r>
        <w:rPr>
          <w:rFonts w:hint="eastAsia" w:ascii="CESI仿宋-GB13000" w:hAnsi="CESI仿宋-GB13000" w:eastAsia="CESI仿宋-GB13000" w:cs="CESI仿宋-GB13000"/>
          <w:color w:val="000000" w:themeColor="text1"/>
          <w:sz w:val="26"/>
          <w:szCs w:val="26"/>
          <w14:textFill>
            <w14:solidFill>
              <w14:schemeClr w14:val="tx1"/>
            </w14:solidFill>
          </w14:textFill>
        </w:rPr>
        <w:t>年</w:t>
      </w:r>
      <w:r>
        <w:rPr>
          <w:rFonts w:hint="eastAsia" w:ascii="CESI仿宋-GB13000" w:hAnsi="CESI仿宋-GB13000" w:eastAsia="CESI仿宋-GB13000" w:cs="CESI仿宋-GB13000"/>
          <w:color w:val="000000" w:themeColor="text1"/>
          <w:sz w:val="26"/>
          <w:szCs w:val="26"/>
          <w:u w:val="single"/>
          <w14:textFill>
            <w14:solidFill>
              <w14:schemeClr w14:val="tx1"/>
            </w14:solidFill>
          </w14:textFill>
        </w:rPr>
        <w:t xml:space="preserve"> </w:t>
      </w:r>
      <w:r>
        <w:rPr>
          <w:rFonts w:ascii="CESI仿宋-GB13000" w:hAnsi="CESI仿宋-GB13000" w:eastAsia="CESI仿宋-GB13000" w:cs="CESI仿宋-GB13000"/>
          <w:color w:val="000000" w:themeColor="text1"/>
          <w:sz w:val="26"/>
          <w:szCs w:val="26"/>
          <w:u w:val="single"/>
          <w14:textFill>
            <w14:solidFill>
              <w14:schemeClr w14:val="tx1"/>
            </w14:solidFill>
          </w14:textFill>
        </w:rPr>
        <w:t>3</w:t>
      </w:r>
      <w:r>
        <w:rPr>
          <w:rFonts w:hint="eastAsia" w:ascii="CESI仿宋-GB13000" w:hAnsi="CESI仿宋-GB13000" w:eastAsia="CESI仿宋-GB13000" w:cs="CESI仿宋-GB13000"/>
          <w:color w:val="000000" w:themeColor="text1"/>
          <w:sz w:val="26"/>
          <w:szCs w:val="26"/>
          <w14:textFill>
            <w14:solidFill>
              <w14:schemeClr w14:val="tx1"/>
            </w14:solidFill>
          </w14:textFill>
        </w:rPr>
        <w:t>月</w:t>
      </w:r>
      <w:r>
        <w:rPr>
          <w:rFonts w:hint="eastAsia" w:ascii="CESI仿宋-GB13000" w:hAnsi="CESI仿宋-GB13000" w:eastAsia="CESI仿宋-GB13000" w:cs="CESI仿宋-GB13000"/>
          <w:color w:val="000000" w:themeColor="text1"/>
          <w:sz w:val="26"/>
          <w:szCs w:val="26"/>
          <w:u w:val="single"/>
          <w14:textFill>
            <w14:solidFill>
              <w14:schemeClr w14:val="tx1"/>
            </w14:solidFill>
          </w14:textFill>
        </w:rPr>
        <w:t xml:space="preserve"> </w:t>
      </w:r>
      <w:r>
        <w:rPr>
          <w:rFonts w:ascii="CESI仿宋-GB13000" w:hAnsi="CESI仿宋-GB13000" w:eastAsia="CESI仿宋-GB13000" w:cs="CESI仿宋-GB13000"/>
          <w:color w:val="000000" w:themeColor="text1"/>
          <w:sz w:val="26"/>
          <w:szCs w:val="26"/>
          <w:u w:val="single"/>
          <w14:textFill>
            <w14:solidFill>
              <w14:schemeClr w14:val="tx1"/>
            </w14:solidFill>
          </w14:textFill>
        </w:rPr>
        <w:t>1</w:t>
      </w:r>
      <w:r>
        <w:rPr>
          <w:rFonts w:hint="eastAsia" w:ascii="CESI仿宋-GB13000" w:hAnsi="CESI仿宋-GB13000" w:eastAsia="CESI仿宋-GB13000" w:cs="CESI仿宋-GB13000"/>
          <w:color w:val="000000" w:themeColor="text1"/>
          <w:sz w:val="26"/>
          <w:szCs w:val="26"/>
          <w:u w:val="single"/>
          <w14:textFill>
            <w14:solidFill>
              <w14:schemeClr w14:val="tx1"/>
            </w14:solidFill>
          </w14:textFill>
        </w:rPr>
        <w:t xml:space="preserve"> </w:t>
      </w:r>
      <w:r>
        <w:rPr>
          <w:rFonts w:hint="eastAsia" w:ascii="CESI仿宋-GB13000" w:hAnsi="CESI仿宋-GB13000" w:eastAsia="CESI仿宋-GB13000" w:cs="CESI仿宋-GB13000"/>
          <w:color w:val="000000" w:themeColor="text1"/>
          <w:sz w:val="26"/>
          <w:szCs w:val="26"/>
          <w14:textFill>
            <w14:solidFill>
              <w14:schemeClr w14:val="tx1"/>
            </w14:solidFill>
          </w14:textFill>
        </w:rPr>
        <w:t>日至</w:t>
      </w:r>
      <w:r>
        <w:rPr>
          <w:rFonts w:ascii="CESI仿宋-GB13000" w:hAnsi="CESI仿宋-GB13000" w:eastAsia="CESI仿宋-GB13000" w:cs="CESI仿宋-GB13000"/>
          <w:color w:val="000000" w:themeColor="text1"/>
          <w:sz w:val="26"/>
          <w:szCs w:val="26"/>
          <w:u w:val="single"/>
          <w14:textFill>
            <w14:solidFill>
              <w14:schemeClr w14:val="tx1"/>
            </w14:solidFill>
          </w14:textFill>
        </w:rPr>
        <w:t>2026</w:t>
      </w:r>
      <w:r>
        <w:rPr>
          <w:rFonts w:hint="eastAsia" w:ascii="CESI仿宋-GB13000" w:hAnsi="CESI仿宋-GB13000" w:eastAsia="CESI仿宋-GB13000" w:cs="CESI仿宋-GB13000"/>
          <w:color w:val="000000" w:themeColor="text1"/>
          <w:sz w:val="26"/>
          <w:szCs w:val="26"/>
          <w14:textFill>
            <w14:solidFill>
              <w14:schemeClr w14:val="tx1"/>
            </w14:solidFill>
          </w14:textFill>
        </w:rPr>
        <w:t>年</w:t>
      </w:r>
      <w:r>
        <w:rPr>
          <w:rFonts w:ascii="CESI仿宋-GB13000" w:hAnsi="CESI仿宋-GB13000" w:eastAsia="CESI仿宋-GB13000" w:cs="CESI仿宋-GB13000"/>
          <w:color w:val="000000" w:themeColor="text1"/>
          <w:sz w:val="26"/>
          <w:szCs w:val="26"/>
          <w:u w:val="single"/>
          <w14:textFill>
            <w14:solidFill>
              <w14:schemeClr w14:val="tx1"/>
            </w14:solidFill>
          </w14:textFill>
        </w:rPr>
        <w:t>12</w:t>
      </w:r>
      <w:r>
        <w:rPr>
          <w:rFonts w:hint="eastAsia" w:ascii="CESI仿宋-GB13000" w:hAnsi="CESI仿宋-GB13000" w:eastAsia="CESI仿宋-GB13000" w:cs="CESI仿宋-GB13000"/>
          <w:color w:val="000000" w:themeColor="text1"/>
          <w:sz w:val="26"/>
          <w:szCs w:val="26"/>
          <w14:textFill>
            <w14:solidFill>
              <w14:schemeClr w14:val="tx1"/>
            </w14:solidFill>
          </w14:textFill>
        </w:rPr>
        <w:t>月</w:t>
      </w:r>
      <w:r>
        <w:rPr>
          <w:rFonts w:hint="eastAsia" w:ascii="CESI仿宋-GB13000" w:hAnsi="CESI仿宋-GB13000" w:eastAsia="CESI仿宋-GB13000" w:cs="CESI仿宋-GB13000"/>
          <w:color w:val="000000" w:themeColor="text1"/>
          <w:sz w:val="26"/>
          <w:szCs w:val="26"/>
          <w:u w:val="single"/>
          <w14:textFill>
            <w14:solidFill>
              <w14:schemeClr w14:val="tx1"/>
            </w14:solidFill>
          </w14:textFill>
        </w:rPr>
        <w:t xml:space="preserve">  </w:t>
      </w:r>
      <w:r>
        <w:rPr>
          <w:rFonts w:ascii="CESI仿宋-GB13000" w:hAnsi="CESI仿宋-GB13000" w:eastAsia="CESI仿宋-GB13000" w:cs="CESI仿宋-GB13000"/>
          <w:color w:val="000000" w:themeColor="text1"/>
          <w:sz w:val="26"/>
          <w:szCs w:val="26"/>
          <w:u w:val="single"/>
          <w14:textFill>
            <w14:solidFill>
              <w14:schemeClr w14:val="tx1"/>
            </w14:solidFill>
          </w14:textFill>
        </w:rPr>
        <w:t>31</w:t>
      </w:r>
      <w:r>
        <w:rPr>
          <w:rFonts w:hint="eastAsia" w:ascii="CESI仿宋-GB13000" w:hAnsi="CESI仿宋-GB13000" w:eastAsia="CESI仿宋-GB13000" w:cs="CESI仿宋-GB13000"/>
          <w:color w:val="000000" w:themeColor="text1"/>
          <w:sz w:val="26"/>
          <w:szCs w:val="26"/>
          <w14:textFill>
            <w14:solidFill>
              <w14:schemeClr w14:val="tx1"/>
            </w14:solidFill>
          </w14:textFill>
        </w:rPr>
        <w:t>日。</w:t>
      </w:r>
    </w:p>
    <w:p w14:paraId="6595D3AB">
      <w:pPr>
        <w:spacing w:line="560" w:lineRule="exact"/>
        <w:ind w:firstLine="660"/>
        <w:rPr>
          <w:rFonts w:hint="eastAsia" w:ascii="CESI黑体-GB13000" w:hAnsi="CESI黑体-GB13000" w:eastAsia="CESI黑体-GB13000" w:cs="CESI黑体-GB13000"/>
          <w:color w:val="000000" w:themeColor="text1"/>
          <w:sz w:val="26"/>
          <w:szCs w:val="26"/>
          <w14:textFill>
            <w14:solidFill>
              <w14:schemeClr w14:val="tx1"/>
            </w14:solidFill>
          </w14:textFill>
        </w:rPr>
      </w:pPr>
      <w:r>
        <w:rPr>
          <w:rFonts w:hint="eastAsia" w:ascii="CESI黑体-GB13000" w:hAnsi="CESI黑体-GB13000" w:eastAsia="CESI黑体-GB13000" w:cs="CESI黑体-GB13000"/>
          <w:color w:val="000000" w:themeColor="text1"/>
          <w:sz w:val="26"/>
          <w:szCs w:val="26"/>
          <w14:textFill>
            <w14:solidFill>
              <w14:schemeClr w14:val="tx1"/>
            </w14:solidFill>
          </w14:textFill>
        </w:rPr>
        <w:t>第十条　其他</w:t>
      </w:r>
    </w:p>
    <w:p w14:paraId="6C726C88">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color w:val="000000" w:themeColor="text1"/>
          <w:sz w:val="26"/>
          <w:szCs w:val="26"/>
          <w14:textFill>
            <w14:solidFill>
              <w14:schemeClr w14:val="tx1"/>
            </w14:solidFill>
          </w14:textFill>
        </w:rPr>
        <w:t>本协议如有未尽事宜，经双方同意，增订补充条款，具有同等效力。若有争议，双方共同协商解决。双方无法协商一致的可向甲方所在地有管辖权法院提起诉讼。如果由于乙方违约的，乙方须承担甲方因主张权利而支出的费用，包括但不限于律师费、诉讼费（受理费、执行费、保全费）、诉讼保全担保费、仲裁费、公证费、评估费、鉴定费、查档案、翻译费，异地办案差旅费、跨境通讯费、专家论证费及其他费用。</w:t>
      </w:r>
    </w:p>
    <w:p w14:paraId="0C72E635">
      <w:pPr>
        <w:spacing w:line="560" w:lineRule="exact"/>
        <w:ind w:firstLine="480"/>
        <w:rPr>
          <w:rFonts w:hint="eastAsia" w:ascii="CESI仿宋-GB13000" w:hAnsi="CESI仿宋-GB13000" w:eastAsia="CESI仿宋-GB13000" w:cs="CESI仿宋-GB13000"/>
          <w:b/>
          <w:color w:val="000000" w:themeColor="text1"/>
          <w:sz w:val="26"/>
          <w:szCs w:val="26"/>
          <w14:textFill>
            <w14:solidFill>
              <w14:schemeClr w14:val="tx1"/>
            </w14:solidFill>
          </w14:textFill>
        </w:rPr>
      </w:pPr>
    </w:p>
    <w:p w14:paraId="5922549B">
      <w:pPr>
        <w:spacing w:line="560" w:lineRule="exact"/>
        <w:ind w:firstLine="480"/>
        <w:rPr>
          <w:rFonts w:hint="eastAsia" w:ascii="CESI仿宋-GB13000" w:hAnsi="CESI仿宋-GB13000" w:eastAsia="CESI仿宋-GB13000" w:cs="CESI仿宋-GB13000"/>
          <w:b/>
          <w:color w:val="000000" w:themeColor="text1"/>
          <w:sz w:val="26"/>
          <w:szCs w:val="26"/>
          <w14:textFill>
            <w14:solidFill>
              <w14:schemeClr w14:val="tx1"/>
            </w14:solidFill>
          </w14:textFill>
        </w:rPr>
      </w:pPr>
      <w:r>
        <w:rPr>
          <w:rFonts w:hint="eastAsia" w:ascii="CESI仿宋-GB13000" w:hAnsi="CESI仿宋-GB13000" w:eastAsia="CESI仿宋-GB13000" w:cs="CESI仿宋-GB13000"/>
          <w:b/>
          <w:color w:val="000000" w:themeColor="text1"/>
          <w:sz w:val="26"/>
          <w:szCs w:val="26"/>
          <w14:textFill>
            <w14:solidFill>
              <w14:schemeClr w14:val="tx1"/>
            </w14:solidFill>
          </w14:textFill>
        </w:rPr>
        <w:t xml:space="preserve">甲方代表： </w:t>
      </w:r>
      <w:r>
        <w:rPr>
          <w:rFonts w:ascii="CESI仿宋-GB13000" w:hAnsi="CESI仿宋-GB13000" w:eastAsia="CESI仿宋-GB13000" w:cs="CESI仿宋-GB13000"/>
          <w:b/>
          <w:color w:val="000000" w:themeColor="text1"/>
          <w:sz w:val="26"/>
          <w:szCs w:val="26"/>
          <w14:textFill>
            <w14:solidFill>
              <w14:schemeClr w14:val="tx1"/>
            </w14:solidFill>
          </w14:textFill>
        </w:rPr>
        <w:t xml:space="preserve">                   </w:t>
      </w:r>
      <w:r>
        <w:rPr>
          <w:rFonts w:hint="eastAsia" w:ascii="CESI仿宋-GB13000" w:hAnsi="CESI仿宋-GB13000" w:eastAsia="CESI仿宋-GB13000" w:cs="CESI仿宋-GB13000"/>
          <w:b/>
          <w:color w:val="000000" w:themeColor="text1"/>
          <w:sz w:val="26"/>
          <w:szCs w:val="26"/>
          <w14:textFill>
            <w14:solidFill>
              <w14:schemeClr w14:val="tx1"/>
            </w14:solidFill>
          </w14:textFill>
        </w:rPr>
        <w:t>乙方代表：</w:t>
      </w:r>
    </w:p>
    <w:p w14:paraId="5FF08A1B">
      <w:pPr>
        <w:spacing w:line="560" w:lineRule="exact"/>
        <w:ind w:firstLine="480"/>
        <w:rPr>
          <w:rFonts w:hint="eastAsia" w:ascii="CESI仿宋-GB13000" w:hAnsi="CESI仿宋-GB13000" w:eastAsia="CESI仿宋-GB13000" w:cs="CESI仿宋-GB13000"/>
          <w:b/>
          <w:color w:val="000000" w:themeColor="text1"/>
          <w:sz w:val="26"/>
          <w:szCs w:val="26"/>
          <w14:textFill>
            <w14:solidFill>
              <w14:schemeClr w14:val="tx1"/>
            </w14:solidFill>
          </w14:textFill>
        </w:rPr>
      </w:pPr>
    </w:p>
    <w:p w14:paraId="479408E8">
      <w:pPr>
        <w:spacing w:line="560" w:lineRule="exact"/>
        <w:ind w:firstLine="480"/>
        <w:rPr>
          <w:rFonts w:hint="eastAsia" w:ascii="CESI仿宋-GB13000" w:hAnsi="CESI仿宋-GB13000" w:eastAsia="CESI仿宋-GB13000" w:cs="CESI仿宋-GB13000"/>
          <w:b/>
          <w:color w:val="000000" w:themeColor="text1"/>
          <w:sz w:val="26"/>
          <w:szCs w:val="26"/>
          <w14:textFill>
            <w14:solidFill>
              <w14:schemeClr w14:val="tx1"/>
            </w14:solidFill>
          </w14:textFill>
        </w:rPr>
      </w:pPr>
      <w:r>
        <w:rPr>
          <w:rFonts w:hint="eastAsia" w:ascii="CESI仿宋-GB13000" w:hAnsi="CESI仿宋-GB13000" w:eastAsia="CESI仿宋-GB13000" w:cs="CESI仿宋-GB13000"/>
          <w:b/>
          <w:color w:val="000000" w:themeColor="text1"/>
          <w:sz w:val="26"/>
          <w:szCs w:val="26"/>
          <w14:textFill>
            <w14:solidFill>
              <w14:schemeClr w14:val="tx1"/>
            </w14:solidFill>
          </w14:textFill>
        </w:rPr>
        <w:t>甲方单位（公章）：             乙方单位（公章）：</w:t>
      </w:r>
    </w:p>
    <w:p w14:paraId="47A8FE0A">
      <w:pPr>
        <w:spacing w:line="560" w:lineRule="exact"/>
        <w:ind w:firstLine="480"/>
        <w:rPr>
          <w:rFonts w:hint="eastAsia" w:ascii="CESI仿宋-GB13000" w:hAnsi="CESI仿宋-GB13000" w:eastAsia="CESI仿宋-GB13000" w:cs="CESI仿宋-GB13000"/>
          <w:b/>
          <w:color w:val="000000" w:themeColor="text1"/>
          <w:sz w:val="26"/>
          <w:szCs w:val="26"/>
          <w14:textFill>
            <w14:solidFill>
              <w14:schemeClr w14:val="tx1"/>
            </w14:solidFill>
          </w14:textFill>
        </w:rPr>
      </w:pPr>
    </w:p>
    <w:p w14:paraId="42722034">
      <w:pPr>
        <w:spacing w:line="560" w:lineRule="exact"/>
        <w:ind w:firstLine="480"/>
        <w:rPr>
          <w:rFonts w:hint="eastAsia" w:ascii="CESI仿宋-GB13000" w:hAnsi="CESI仿宋-GB13000" w:eastAsia="CESI仿宋-GB13000" w:cs="CESI仿宋-GB13000"/>
          <w:color w:val="000000" w:themeColor="text1"/>
          <w:sz w:val="26"/>
          <w:szCs w:val="26"/>
          <w14:textFill>
            <w14:solidFill>
              <w14:schemeClr w14:val="tx1"/>
            </w14:solidFill>
          </w14:textFill>
        </w:rPr>
      </w:pPr>
      <w:r>
        <w:rPr>
          <w:rFonts w:hint="eastAsia" w:ascii="CESI仿宋-GB13000" w:hAnsi="CESI仿宋-GB13000" w:eastAsia="CESI仿宋-GB13000" w:cs="CESI仿宋-GB13000"/>
          <w:b/>
          <w:color w:val="000000" w:themeColor="text1"/>
          <w:sz w:val="26"/>
          <w:szCs w:val="26"/>
          <w14:textFill>
            <w14:solidFill>
              <w14:schemeClr w14:val="tx1"/>
            </w14:solidFill>
          </w14:textFill>
        </w:rPr>
        <w:t>日期：                        日期：</w:t>
      </w:r>
      <w:r>
        <w:rPr>
          <w:rFonts w:hint="eastAsia" w:ascii="CESI仿宋-GB13000" w:hAnsi="CESI仿宋-GB13000" w:eastAsia="CESI仿宋-GB13000" w:cs="CESI仿宋-GB13000"/>
          <w:color w:val="000000" w:themeColor="text1"/>
          <w:sz w:val="26"/>
          <w:szCs w:val="26"/>
          <w14:textFill>
            <w14:solidFill>
              <w14:schemeClr w14:val="tx1"/>
            </w14:solidFill>
          </w14:textFill>
        </w:rPr>
        <w:t xml:space="preserve">  </w:t>
      </w:r>
    </w:p>
    <w:p w14:paraId="6126CBCD">
      <w:pPr>
        <w:widowControl/>
        <w:jc w:val="left"/>
        <w:rPr>
          <w:b/>
          <w:bCs/>
          <w:color w:val="000000" w:themeColor="text1"/>
          <w:kern w:val="44"/>
          <w:sz w:val="24"/>
          <w14:textFill>
            <w14:solidFill>
              <w14:schemeClr w14:val="tx1"/>
            </w14:solidFill>
          </w14:textFill>
        </w:rPr>
      </w:pPr>
      <w:r>
        <w:rPr>
          <w:color w:val="000000" w:themeColor="text1"/>
          <w:sz w:val="24"/>
          <w14:textFill>
            <w14:solidFill>
              <w14:schemeClr w14:val="tx1"/>
            </w14:solidFill>
          </w14:textFill>
        </w:rPr>
        <w:br w:type="page"/>
      </w:r>
    </w:p>
    <w:p w14:paraId="33F956B2">
      <w:pPr>
        <w:pStyle w:val="2"/>
        <w:keepLines w:val="0"/>
        <w:spacing w:before="0" w:after="0" w:line="360" w:lineRule="auto"/>
        <w:rPr>
          <w:rFonts w:eastAsia="宋体"/>
          <w:color w:val="000000" w:themeColor="text1"/>
          <w:sz w:val="24"/>
          <w:szCs w:val="24"/>
          <w14:textFill>
            <w14:solidFill>
              <w14:schemeClr w14:val="tx1"/>
            </w14:solidFill>
          </w14:textFill>
        </w:rPr>
      </w:pPr>
      <w:r>
        <w:rPr>
          <w:rFonts w:hint="eastAsia" w:eastAsia="宋体"/>
          <w:color w:val="000000" w:themeColor="text1"/>
          <w:sz w:val="24"/>
          <w:szCs w:val="24"/>
          <w14:textFill>
            <w14:solidFill>
              <w14:schemeClr w14:val="tx1"/>
            </w14:solidFill>
          </w14:textFill>
        </w:rPr>
        <w:t>第六章 响应文件格式</w:t>
      </w:r>
      <w:bookmarkEnd w:id="148"/>
      <w:r>
        <w:rPr>
          <w:rFonts w:hint="eastAsia" w:eastAsia="宋体"/>
          <w:color w:val="000000" w:themeColor="text1"/>
          <w:sz w:val="24"/>
          <w:szCs w:val="24"/>
          <w14:textFill>
            <w14:solidFill>
              <w14:schemeClr w14:val="tx1"/>
            </w14:solidFill>
          </w14:textFill>
        </w:rPr>
        <w:t>与要求</w:t>
      </w:r>
      <w:bookmarkEnd w:id="149"/>
    </w:p>
    <w:p w14:paraId="0DC4D78E">
      <w:pPr>
        <w:pStyle w:val="11"/>
        <w:ind w:firstLine="420" w:firstLineChars="200"/>
        <w:rPr>
          <w:color w:val="000000" w:themeColor="text1"/>
          <w14:textFill>
            <w14:solidFill>
              <w14:schemeClr w14:val="tx1"/>
            </w14:solidFill>
          </w14:textFill>
        </w:rPr>
      </w:pPr>
    </w:p>
    <w:p w14:paraId="01F88591">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供应商应提交证明其有资格参加磋商和成交后有能力履行合同的相关文件，并作为其响应文件的一部分，所有文件必须真实可靠、不得伪造，否则将按相关规定予以处罚。</w:t>
      </w:r>
    </w:p>
    <w:p w14:paraId="49F63CDB">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1.法人或者其他组织的营业执照等证明文件，自然人的身份证明：</w:t>
      </w:r>
    </w:p>
    <w:p w14:paraId="3185CDE3">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w:t>
      </w:r>
      <w:bookmarkStart w:id="150" w:name="_Hlk175738844"/>
      <w:bookmarkEnd w:id="150"/>
      <w:r>
        <w:rPr>
          <w:rFonts w:hint="eastAsia"/>
          <w:color w:val="000000" w:themeColor="text1"/>
          <w14:textFill>
            <w14:solidFill>
              <w14:schemeClr w14:val="tx1"/>
            </w14:solidFill>
          </w14:textFill>
        </w:rPr>
        <w:t>要提供有效的“执业许可证”“登记证书”等证明文件，如律师事务所，会计师事务所要提供执业许可证等证明文件；如供应商是个体工商户，要提供有效的“个体工商户营业执照”；如供应商是自然人，要提供有效的自然人身份证明。</w:t>
      </w:r>
    </w:p>
    <w:p w14:paraId="50DD2295">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本采购活动”。</w:t>
      </w:r>
    </w:p>
    <w:p w14:paraId="2AD3225E">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2.信用记录查询</w:t>
      </w:r>
    </w:p>
    <w:p w14:paraId="136EC833">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（1）查询渠道：通过“信用中国”网站(www.creditchina.gov.cn)和“中国政府采购网”（www.ccgp.gov.cn）进行查询，具体以采购公告要求为准；</w:t>
      </w:r>
    </w:p>
    <w:p w14:paraId="1F224A9C">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（2）查询截止时点：</w:t>
      </w:r>
      <w:bookmarkStart w:id="151" w:name="_Hlk112009834"/>
      <w:r>
        <w:rPr>
          <w:rFonts w:hint="eastAsia"/>
          <w:color w:val="000000" w:themeColor="text1"/>
          <w14:textFill>
            <w14:solidFill>
              <w14:schemeClr w14:val="tx1"/>
            </w14:solidFill>
          </w14:textFill>
        </w:rPr>
        <w:t>提交响应文件截止日当天</w:t>
      </w:r>
      <w:bookmarkEnd w:id="151"/>
      <w:r>
        <w:rPr>
          <w:rFonts w:hint="eastAsia"/>
          <w:color w:val="000000" w:themeColor="text1"/>
          <w14:textFill>
            <w14:solidFill>
              <w14:schemeClr w14:val="tx1"/>
            </w14:solidFill>
          </w14:textFill>
        </w:rPr>
        <w:t>；</w:t>
      </w:r>
    </w:p>
    <w:p w14:paraId="22AF7541">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（3）查询记录：对列入失信被执行人、重大税收违法案件当事人名单、政府采购严重违法失信行为记录名单、信用报告进行查询；</w:t>
      </w:r>
    </w:p>
    <w:p w14:paraId="28FE6088">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14:paraId="3B47E8E8">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在本磋商文件规定的查询时间之外，网站信息发生的任何变更均不作为资格审查依据。</w:t>
      </w:r>
    </w:p>
    <w:p w14:paraId="12281570">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按照磋商文件要求，供应商应当提交的资格、资信证明文件。</w:t>
      </w:r>
    </w:p>
    <w:p w14:paraId="50DE4ED3">
      <w:pPr>
        <w:pStyle w:val="11"/>
        <w:rPr>
          <w:color w:val="000000" w:themeColor="text1"/>
          <w14:textFill>
            <w14:solidFill>
              <w14:schemeClr w14:val="tx1"/>
            </w14:solidFill>
          </w14:textFill>
        </w:rPr>
      </w:pPr>
    </w:p>
    <w:p w14:paraId="442A11C1">
      <w:pPr>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br w:type="page"/>
      </w:r>
    </w:p>
    <w:p w14:paraId="13DEEFBA">
      <w:pPr>
        <w:jc w:val="center"/>
        <w:outlineLvl w:val="1"/>
        <w:rPr>
          <w:b/>
          <w:bCs/>
          <w:color w:val="000000" w:themeColor="text1"/>
          <w:sz w:val="32"/>
          <w:szCs w:val="32"/>
          <w14:textFill>
            <w14:solidFill>
              <w14:schemeClr w14:val="tx1"/>
            </w14:solidFill>
          </w14:textFill>
        </w:rPr>
      </w:pPr>
      <w:bookmarkStart w:id="152" w:name="_Toc29179"/>
      <w:bookmarkEnd w:id="152"/>
      <w:bookmarkStart w:id="153" w:name="_Toc23393"/>
      <w:bookmarkStart w:id="154" w:name="_Hlk112010057"/>
      <w:r>
        <w:rPr>
          <w:rFonts w:hint="eastAsia"/>
          <w:b/>
          <w:bCs/>
          <w:color w:val="000000" w:themeColor="text1"/>
          <w:sz w:val="32"/>
          <w:szCs w:val="32"/>
          <w14:textFill>
            <w14:solidFill>
              <w14:schemeClr w14:val="tx1"/>
            </w14:solidFill>
          </w14:textFill>
        </w:rPr>
        <w:t>响应文件封面（参考）</w:t>
      </w:r>
      <w:bookmarkEnd w:id="153"/>
      <w:bookmarkEnd w:id="154"/>
    </w:p>
    <w:p w14:paraId="3A90F105">
      <w:pPr>
        <w:jc w:val="right"/>
        <w:rPr>
          <w:b/>
          <w:bCs/>
          <w:color w:val="000000" w:themeColor="text1"/>
          <w:sz w:val="40"/>
          <w:szCs w:val="40"/>
          <w14:textFill>
            <w14:solidFill>
              <w14:schemeClr w14:val="tx1"/>
            </w14:solidFill>
          </w14:textFill>
        </w:rPr>
      </w:pPr>
    </w:p>
    <w:p w14:paraId="2304BAA5">
      <w:pPr>
        <w:jc w:val="right"/>
        <w:rPr>
          <w:b/>
          <w:bCs/>
          <w:color w:val="000000" w:themeColor="text1"/>
          <w:sz w:val="40"/>
          <w:szCs w:val="40"/>
          <w14:textFill>
            <w14:solidFill>
              <w14:schemeClr w14:val="tx1"/>
            </w14:solidFill>
          </w14:textFill>
        </w:rPr>
      </w:pPr>
      <w:r>
        <w:rPr>
          <w:rFonts w:hint="eastAsia"/>
          <w:b/>
          <w:bCs/>
          <w:color w:val="000000" w:themeColor="text1"/>
          <w:sz w:val="40"/>
          <w:szCs w:val="40"/>
          <w14:textFill>
            <w14:solidFill>
              <w14:schemeClr w14:val="tx1"/>
            </w14:solidFill>
          </w14:textFill>
        </w:rPr>
        <w:t>正本/副本</w:t>
      </w:r>
    </w:p>
    <w:p w14:paraId="447BACE2">
      <w:pPr>
        <w:pStyle w:val="11"/>
        <w:rPr>
          <w:b/>
          <w:bCs/>
          <w:color w:val="000000" w:themeColor="text1"/>
          <w:sz w:val="24"/>
          <w14:textFill>
            <w14:solidFill>
              <w14:schemeClr w14:val="tx1"/>
            </w14:solidFill>
          </w14:textFill>
        </w:rPr>
      </w:pPr>
    </w:p>
    <w:p w14:paraId="1AF45281">
      <w:pPr>
        <w:pStyle w:val="11"/>
        <w:jc w:val="center"/>
        <w:rPr>
          <w:b/>
          <w:bCs/>
          <w:color w:val="000000" w:themeColor="text1"/>
          <w:sz w:val="72"/>
          <w:szCs w:val="72"/>
          <w14:textFill>
            <w14:solidFill>
              <w14:schemeClr w14:val="tx1"/>
            </w14:solidFill>
          </w14:textFill>
        </w:rPr>
      </w:pPr>
      <w:r>
        <w:rPr>
          <w:rFonts w:hint="eastAsia"/>
          <w:b/>
          <w:bCs/>
          <w:color w:val="000000" w:themeColor="text1"/>
          <w:sz w:val="72"/>
          <w:szCs w:val="72"/>
          <w14:textFill>
            <w14:solidFill>
              <w14:schemeClr w14:val="tx1"/>
            </w14:solidFill>
          </w14:textFill>
        </w:rPr>
        <w:t>响应文件</w:t>
      </w:r>
    </w:p>
    <w:p w14:paraId="75A1B011">
      <w:pPr>
        <w:pStyle w:val="11"/>
        <w:jc w:val="center"/>
        <w:rPr>
          <w:b/>
          <w:bCs/>
          <w:color w:val="000000" w:themeColor="text1"/>
          <w:sz w:val="24"/>
          <w14:textFill>
            <w14:solidFill>
              <w14:schemeClr w14:val="tx1"/>
            </w14:solidFill>
          </w14:textFill>
        </w:rPr>
      </w:pPr>
    </w:p>
    <w:p w14:paraId="31BB44F2">
      <w:pPr>
        <w:pStyle w:val="11"/>
        <w:jc w:val="left"/>
        <w:rPr>
          <w:b/>
          <w:bCs/>
          <w:color w:val="000000" w:themeColor="text1"/>
          <w:sz w:val="32"/>
          <w:szCs w:val="32"/>
          <w14:textFill>
            <w14:solidFill>
              <w14:schemeClr w14:val="tx1"/>
            </w14:solidFill>
          </w14:textFill>
        </w:rPr>
      </w:pPr>
    </w:p>
    <w:p w14:paraId="3E134383">
      <w:pPr>
        <w:pStyle w:val="11"/>
        <w:jc w:val="left"/>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项目编号：</w:t>
      </w:r>
    </w:p>
    <w:p w14:paraId="4FA366EC">
      <w:pPr>
        <w:pStyle w:val="11"/>
        <w:jc w:val="left"/>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项目名称：</w:t>
      </w:r>
    </w:p>
    <w:p w14:paraId="0D66203D">
      <w:pPr>
        <w:pStyle w:val="11"/>
        <w:jc w:val="left"/>
        <w:rPr>
          <w:b/>
          <w:bCs/>
          <w:color w:val="000000" w:themeColor="text1"/>
          <w:sz w:val="32"/>
          <w:szCs w:val="32"/>
          <w14:textFill>
            <w14:solidFill>
              <w14:schemeClr w14:val="tx1"/>
            </w14:solidFill>
          </w14:textFill>
        </w:rPr>
      </w:pPr>
    </w:p>
    <w:p w14:paraId="670D2D25">
      <w:pPr>
        <w:pStyle w:val="11"/>
        <w:jc w:val="left"/>
        <w:rPr>
          <w:b/>
          <w:bCs/>
          <w:color w:val="000000" w:themeColor="text1"/>
          <w:sz w:val="32"/>
          <w:szCs w:val="32"/>
          <w14:textFill>
            <w14:solidFill>
              <w14:schemeClr w14:val="tx1"/>
            </w14:solidFill>
          </w14:textFill>
        </w:rPr>
      </w:pPr>
    </w:p>
    <w:p w14:paraId="567A4EDD">
      <w:pPr>
        <w:pStyle w:val="11"/>
        <w:jc w:val="left"/>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供应商名称：</w:t>
      </w:r>
    </w:p>
    <w:p w14:paraId="1CD9322A">
      <w:pPr>
        <w:pStyle w:val="11"/>
        <w:jc w:val="left"/>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供应商地址：</w:t>
      </w:r>
    </w:p>
    <w:p w14:paraId="3A8F746D">
      <w:pPr>
        <w:pStyle w:val="11"/>
        <w:jc w:val="left"/>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供应商法定代表人或其授权委托人（签字或盖章）：</w:t>
      </w:r>
    </w:p>
    <w:p w14:paraId="75B9D1AA">
      <w:pPr>
        <w:pStyle w:val="11"/>
        <w:jc w:val="left"/>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联系电话：</w:t>
      </w:r>
    </w:p>
    <w:p w14:paraId="4FCFC9B1">
      <w:pPr>
        <w:pStyle w:val="11"/>
        <w:jc w:val="left"/>
        <w:rPr>
          <w:b/>
          <w:bCs/>
          <w:color w:val="000000" w:themeColor="text1"/>
          <w:sz w:val="32"/>
          <w:szCs w:val="32"/>
          <w14:textFill>
            <w14:solidFill>
              <w14:schemeClr w14:val="tx1"/>
            </w14:solidFill>
          </w14:textFill>
        </w:rPr>
      </w:pPr>
    </w:p>
    <w:p w14:paraId="73A36BF0">
      <w:pPr>
        <w:pStyle w:val="11"/>
        <w:jc w:val="left"/>
        <w:rPr>
          <w:b/>
          <w:bCs/>
          <w:color w:val="000000" w:themeColor="text1"/>
          <w:sz w:val="32"/>
          <w:szCs w:val="32"/>
          <w14:textFill>
            <w14:solidFill>
              <w14:schemeClr w14:val="tx1"/>
            </w14:solidFill>
          </w14:textFill>
        </w:rPr>
      </w:pPr>
    </w:p>
    <w:p w14:paraId="31D1D6B4">
      <w:pPr>
        <w:pStyle w:val="11"/>
        <w:jc w:val="center"/>
        <w:rPr>
          <w:b/>
          <w:bCs/>
          <w:color w:val="000000" w:themeColor="text1"/>
          <w:sz w:val="32"/>
          <w:szCs w:val="32"/>
          <w14:textFill>
            <w14:solidFill>
              <w14:schemeClr w14:val="tx1"/>
            </w14:solidFill>
          </w14:textFill>
        </w:rPr>
      </w:pPr>
    </w:p>
    <w:p w14:paraId="235B3379">
      <w:pPr>
        <w:pStyle w:val="11"/>
        <w:jc w:val="center"/>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---本项目开启前不准启封---</w:t>
      </w:r>
    </w:p>
    <w:p w14:paraId="49259F4C">
      <w:pPr>
        <w:pStyle w:val="11"/>
        <w:jc w:val="center"/>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日期：</w:t>
      </w:r>
      <w:r>
        <w:rPr>
          <w:rFonts w:hint="eastAsia"/>
          <w:b/>
          <w:bCs/>
          <w:color w:val="000000" w:themeColor="text1"/>
          <w:sz w:val="32"/>
          <w:szCs w:val="32"/>
          <w:u w:val="single"/>
          <w14:textFill>
            <w14:solidFill>
              <w14:schemeClr w14:val="tx1"/>
            </w14:solidFill>
          </w14:textFill>
        </w:rPr>
        <w:t xml:space="preserve">     </w:t>
      </w:r>
      <w:r>
        <w:rPr>
          <w:rFonts w:hint="eastAsia"/>
          <w:b/>
          <w:bCs/>
          <w:color w:val="000000" w:themeColor="text1"/>
          <w:sz w:val="32"/>
          <w:szCs w:val="32"/>
          <w14:textFill>
            <w14:solidFill>
              <w14:schemeClr w14:val="tx1"/>
            </w14:solidFill>
          </w14:textFill>
        </w:rPr>
        <w:t>年</w:t>
      </w:r>
      <w:r>
        <w:rPr>
          <w:rFonts w:hint="eastAsia"/>
          <w:b/>
          <w:bCs/>
          <w:color w:val="000000" w:themeColor="text1"/>
          <w:sz w:val="32"/>
          <w:szCs w:val="32"/>
          <w:u w:val="single"/>
          <w14:textFill>
            <w14:solidFill>
              <w14:schemeClr w14:val="tx1"/>
            </w14:solidFill>
          </w14:textFill>
        </w:rPr>
        <w:t xml:space="preserve">     </w:t>
      </w:r>
      <w:r>
        <w:rPr>
          <w:rFonts w:hint="eastAsia"/>
          <w:b/>
          <w:bCs/>
          <w:color w:val="000000" w:themeColor="text1"/>
          <w:sz w:val="32"/>
          <w:szCs w:val="32"/>
          <w14:textFill>
            <w14:solidFill>
              <w14:schemeClr w14:val="tx1"/>
            </w14:solidFill>
          </w14:textFill>
        </w:rPr>
        <w:t>月</w:t>
      </w:r>
      <w:r>
        <w:rPr>
          <w:rFonts w:hint="eastAsia"/>
          <w:b/>
          <w:bCs/>
          <w:color w:val="000000" w:themeColor="text1"/>
          <w:sz w:val="32"/>
          <w:szCs w:val="32"/>
          <w:u w:val="single"/>
          <w14:textFill>
            <w14:solidFill>
              <w14:schemeClr w14:val="tx1"/>
            </w14:solidFill>
          </w14:textFill>
        </w:rPr>
        <w:t xml:space="preserve">     </w:t>
      </w:r>
      <w:r>
        <w:rPr>
          <w:rFonts w:hint="eastAsia"/>
          <w:b/>
          <w:bCs/>
          <w:color w:val="000000" w:themeColor="text1"/>
          <w:sz w:val="32"/>
          <w:szCs w:val="32"/>
          <w14:textFill>
            <w14:solidFill>
              <w14:schemeClr w14:val="tx1"/>
            </w14:solidFill>
          </w14:textFill>
        </w:rPr>
        <w:t>日</w:t>
      </w:r>
    </w:p>
    <w:p w14:paraId="5A932CB8">
      <w:pPr>
        <w:pStyle w:val="11"/>
        <w:jc w:val="center"/>
        <w:rPr>
          <w:b/>
          <w:bCs/>
          <w:color w:val="000000" w:themeColor="text1"/>
          <w:sz w:val="24"/>
          <w14:textFill>
            <w14:solidFill>
              <w14:schemeClr w14:val="tx1"/>
            </w14:solidFill>
          </w14:textFill>
        </w:rPr>
      </w:pPr>
    </w:p>
    <w:p w14:paraId="41A63A02">
      <w:pPr>
        <w:rPr>
          <w:b/>
          <w:bCs/>
          <w:color w:val="000000" w:themeColor="text1"/>
          <w:sz w:val="24"/>
          <w14:textFill>
            <w14:solidFill>
              <w14:schemeClr w14:val="tx1"/>
            </w14:solidFill>
          </w14:textFill>
        </w:rPr>
      </w:pPr>
    </w:p>
    <w:p w14:paraId="230B8943">
      <w:pPr>
        <w:rPr>
          <w:b/>
          <w:bCs/>
          <w:color w:val="000000" w:themeColor="text1"/>
          <w:sz w:val="32"/>
          <w:szCs w:val="32"/>
          <w14:textFill>
            <w14:solidFill>
              <w14:schemeClr w14:val="tx1"/>
            </w14:solidFill>
          </w14:textFill>
        </w:rPr>
      </w:pPr>
      <w:r>
        <w:rPr>
          <w:rFonts w:hint="eastAsia"/>
          <w:b/>
          <w:bCs/>
          <w:color w:val="000000" w:themeColor="text1"/>
          <w:sz w:val="24"/>
          <w14:textFill>
            <w14:solidFill>
              <w14:schemeClr w14:val="tx1"/>
            </w14:solidFill>
          </w14:textFill>
        </w:rPr>
        <w:t>说明：请供应商自行编制响应文件目录。</w:t>
      </w:r>
      <w:bookmarkStart w:id="155" w:name="_Toc104040702"/>
      <w:bookmarkEnd w:id="155"/>
      <w:bookmarkStart w:id="156" w:name="_Toc6397152"/>
      <w:bookmarkEnd w:id="156"/>
      <w:bookmarkStart w:id="157" w:name="_Toc462677235"/>
      <w:bookmarkEnd w:id="157"/>
      <w:bookmarkStart w:id="158" w:name="_Toc67046895"/>
      <w:bookmarkEnd w:id="158"/>
      <w:bookmarkStart w:id="159" w:name="_Toc6322297"/>
      <w:bookmarkEnd w:id="159"/>
      <w:bookmarkStart w:id="160" w:name="_Toc259090983"/>
      <w:bookmarkEnd w:id="160"/>
      <w:bookmarkStart w:id="161" w:name="_Toc276645580"/>
      <w:bookmarkEnd w:id="161"/>
      <w:bookmarkStart w:id="162" w:name="_Toc103033234"/>
      <w:bookmarkEnd w:id="162"/>
      <w:bookmarkStart w:id="163" w:name="_Toc32977098"/>
      <w:bookmarkEnd w:id="163"/>
      <w:bookmarkStart w:id="164" w:name="_Toc6727973"/>
      <w:r>
        <w:rPr>
          <w:rFonts w:hint="eastAsia"/>
          <w:b/>
          <w:bCs/>
          <w:color w:val="000000" w:themeColor="text1"/>
          <w:sz w:val="32"/>
          <w:szCs w:val="32"/>
          <w14:textFill>
            <w14:solidFill>
              <w14:schemeClr w14:val="tx1"/>
            </w14:solidFill>
          </w14:textFill>
        </w:rPr>
        <w:br w:type="page"/>
      </w:r>
      <w:bookmarkEnd w:id="164"/>
    </w:p>
    <w:p w14:paraId="68C55717">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165" w:name="_Toc11373"/>
      <w:bookmarkEnd w:id="165"/>
      <w:bookmarkStart w:id="166" w:name="_Toc16473"/>
      <w:r>
        <w:rPr>
          <w:rFonts w:hint="eastAsia" w:ascii="宋体" w:eastAsia="宋体"/>
          <w:color w:val="000000" w:themeColor="text1"/>
          <w:sz w:val="24"/>
          <w:szCs w:val="24"/>
          <w14:textFill>
            <w14:solidFill>
              <w14:schemeClr w14:val="tx1"/>
            </w14:solidFill>
          </w14:textFill>
        </w:rPr>
        <w:t>响应承诺函</w:t>
      </w:r>
      <w:bookmarkEnd w:id="166"/>
    </w:p>
    <w:p w14:paraId="58785951">
      <w:pPr>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响应承诺函</w:t>
      </w:r>
    </w:p>
    <w:p w14:paraId="47F729FC">
      <w:pPr>
        <w:adjustRightInd w:val="0"/>
        <w:snapToGrid w:val="0"/>
        <w:rPr>
          <w:i/>
          <w:iCs/>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致：公诚管理咨询有限公司</w:t>
      </w:r>
    </w:p>
    <w:p w14:paraId="3DB17354">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你方组织的</w:t>
      </w:r>
      <w:r>
        <w:rPr>
          <w:rFonts w:hint="eastAsia"/>
          <w:color w:val="000000" w:themeColor="text1"/>
          <w:sz w:val="20"/>
          <w:szCs w:val="20"/>
          <w:u w:val="single"/>
          <w14:textFill>
            <w14:solidFill>
              <w14:schemeClr w14:val="tx1"/>
            </w14:solidFill>
          </w14:textFill>
        </w:rPr>
        <w:t xml:space="preserve">        （项目名称）</w:t>
      </w:r>
      <w:r>
        <w:rPr>
          <w:rFonts w:hint="eastAsia"/>
          <w:color w:val="000000" w:themeColor="text1"/>
          <w:sz w:val="20"/>
          <w:szCs w:val="20"/>
          <w14:textFill>
            <w14:solidFill>
              <w14:schemeClr w14:val="tx1"/>
            </w14:solidFill>
          </w14:textFill>
        </w:rPr>
        <w:t>[项目编号：</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]的竞争性磋商，我方愿参与响应。</w:t>
      </w:r>
    </w:p>
    <w:p w14:paraId="59314D2A">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我方确认收到贵方提供的</w:t>
      </w:r>
      <w:r>
        <w:rPr>
          <w:rFonts w:hint="eastAsia"/>
          <w:color w:val="000000" w:themeColor="text1"/>
          <w:sz w:val="20"/>
          <w:szCs w:val="20"/>
          <w:u w:val="single"/>
          <w14:textFill>
            <w14:solidFill>
              <w14:schemeClr w14:val="tx1"/>
            </w14:solidFill>
          </w14:textFill>
        </w:rPr>
        <w:t xml:space="preserve">        （项目名称）</w:t>
      </w:r>
      <w:r>
        <w:rPr>
          <w:rFonts w:hint="eastAsia"/>
          <w:color w:val="000000" w:themeColor="text1"/>
          <w:sz w:val="20"/>
          <w:szCs w:val="20"/>
          <w14:textFill>
            <w14:solidFill>
              <w14:schemeClr w14:val="tx1"/>
            </w14:solidFill>
          </w14:textFill>
        </w:rPr>
        <w:t>的磋商文件的全部内容。</w:t>
      </w:r>
    </w:p>
    <w:p w14:paraId="76B07DDF">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14:paraId="5C1022B1">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u w:val="single"/>
          <w14:textFill>
            <w14:solidFill>
              <w14:schemeClr w14:val="tx1"/>
            </w14:solidFill>
          </w14:textFill>
        </w:rPr>
        <w:t xml:space="preserve">       （供应商名称）</w:t>
      </w:r>
      <w:r>
        <w:rPr>
          <w:rFonts w:hint="eastAsia"/>
          <w:color w:val="000000" w:themeColor="text1"/>
          <w:sz w:val="20"/>
          <w:szCs w:val="20"/>
          <w14:textFill>
            <w14:solidFill>
              <w14:schemeClr w14:val="tx1"/>
            </w14:solidFill>
          </w14:textFill>
        </w:rPr>
        <w:t>作为供应商正式授权</w:t>
      </w:r>
      <w:r>
        <w:rPr>
          <w:rFonts w:hint="eastAsia"/>
          <w:color w:val="000000" w:themeColor="text1"/>
          <w:sz w:val="20"/>
          <w:szCs w:val="20"/>
          <w:u w:val="single"/>
          <w14:textFill>
            <w14:solidFill>
              <w14:schemeClr w14:val="tx1"/>
            </w14:solidFill>
          </w14:textFill>
        </w:rPr>
        <w:t xml:space="preserve">       （授权代表全名,职务）</w:t>
      </w:r>
      <w:r>
        <w:rPr>
          <w:rFonts w:hint="eastAsia"/>
          <w:color w:val="000000" w:themeColor="text1"/>
          <w:sz w:val="20"/>
          <w:szCs w:val="20"/>
          <w14:textFill>
            <w14:solidFill>
              <w14:schemeClr w14:val="tx1"/>
            </w14:solidFill>
          </w14:textFill>
        </w:rPr>
        <w:t xml:space="preserve">代表我方全权处理有关本响应的一切事宜。   </w:t>
      </w:r>
    </w:p>
    <w:p w14:paraId="3F651478">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我方已完全明白磋商文件的所有条款要求，并申明如下：</w:t>
      </w:r>
    </w:p>
    <w:p w14:paraId="4C45851C">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（一）按磋商文件提供的全部货物（工程、服务）与相关服务的磋商总价详见《首轮报价表》。</w:t>
      </w:r>
    </w:p>
    <w:p w14:paraId="63F338DD">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二）本响应文件的有效期为从提交投标（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14:paraId="268BEFC1">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r>
        <w:rPr>
          <w:color w:val="000000" w:themeColor="text1"/>
          <w:sz w:val="20"/>
          <w:szCs w:val="20"/>
          <w14:textFill>
            <w14:solidFill>
              <w14:schemeClr w14:val="tx1"/>
            </w14:solidFill>
          </w14:textFill>
        </w:rPr>
        <w:t>三</w:t>
      </w:r>
      <w:r>
        <w:rPr>
          <w:rFonts w:hint="eastAsia"/>
          <w:color w:val="000000" w:themeColor="text1"/>
          <w:sz w:val="20"/>
          <w:szCs w:val="20"/>
          <w14:textFill>
            <w14:solidFill>
              <w14:schemeClr w14:val="tx1"/>
            </w14:solidFill>
          </w14:textFill>
        </w:rPr>
        <w:t>）我方愿意向贵方提供任何与本项报价有关的数据、情况和技术资料。若贵方需要，我方愿意提供我方作出的一切承诺的证明材料。</w:t>
      </w:r>
    </w:p>
    <w:p w14:paraId="22322E16">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r>
        <w:rPr>
          <w:color w:val="000000" w:themeColor="text1"/>
          <w:sz w:val="20"/>
          <w:szCs w:val="20"/>
          <w14:textFill>
            <w14:solidFill>
              <w14:schemeClr w14:val="tx1"/>
            </w14:solidFill>
          </w14:textFill>
        </w:rPr>
        <w:t>四</w:t>
      </w:r>
      <w:r>
        <w:rPr>
          <w:rFonts w:hint="eastAsia"/>
          <w:color w:val="000000" w:themeColor="text1"/>
          <w:sz w:val="20"/>
          <w:szCs w:val="20"/>
          <w14:textFill>
            <w14:solidFill>
              <w14:schemeClr w14:val="tx1"/>
            </w14:solidFill>
          </w14:textFill>
        </w:rPr>
        <w:t>）我方理解贵方不一定接受最低磋商价或任何贵方可能收到的响应。</w:t>
      </w:r>
    </w:p>
    <w:p w14:paraId="3F18D06E">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r>
        <w:rPr>
          <w:color w:val="000000" w:themeColor="text1"/>
          <w:sz w:val="20"/>
          <w:szCs w:val="20"/>
          <w14:textFill>
            <w14:solidFill>
              <w14:schemeClr w14:val="tx1"/>
            </w14:solidFill>
          </w14:textFill>
        </w:rPr>
        <w:t>五</w:t>
      </w:r>
      <w:r>
        <w:rPr>
          <w:rFonts w:hint="eastAsia"/>
          <w:color w:val="000000" w:themeColor="text1"/>
          <w:sz w:val="20"/>
          <w:szCs w:val="20"/>
          <w14:textFill>
            <w14:solidFill>
              <w14:schemeClr w14:val="tx1"/>
            </w14:solidFill>
          </w14:textFill>
        </w:rPr>
        <w:t>）我方如果成交，将保证履行磋商文件及其澄清、修改文件（如果有）中的全部责任和义务，按质、按量、按期完成《采购需求》及《合同书》中的全部任务。</w:t>
      </w:r>
    </w:p>
    <w:p w14:paraId="49353E36">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r>
        <w:rPr>
          <w:color w:val="000000" w:themeColor="text1"/>
          <w:sz w:val="20"/>
          <w:szCs w:val="20"/>
          <w14:textFill>
            <w14:solidFill>
              <w14:schemeClr w14:val="tx1"/>
            </w14:solidFill>
          </w14:textFill>
        </w:rPr>
        <w:t>六</w:t>
      </w:r>
      <w:r>
        <w:rPr>
          <w:rFonts w:hint="eastAsia"/>
          <w:color w:val="000000" w:themeColor="text1"/>
          <w:sz w:val="20"/>
          <w:szCs w:val="20"/>
          <w14:textFill>
            <w14:solidFill>
              <w14:schemeClr w14:val="tx1"/>
            </w14:solidFill>
          </w14:textFill>
        </w:rPr>
        <w:t>）我方作为法律、财务和运作上独立于采购人、采购代理机构的供应商，在此保证所提交的所有文件和全部说明是真实的和正确的。</w:t>
      </w:r>
    </w:p>
    <w:p w14:paraId="78E75C79">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r>
        <w:rPr>
          <w:color w:val="000000" w:themeColor="text1"/>
          <w:sz w:val="20"/>
          <w:szCs w:val="20"/>
          <w14:textFill>
            <w14:solidFill>
              <w14:schemeClr w14:val="tx1"/>
            </w14:solidFill>
          </w14:textFill>
        </w:rPr>
        <w:t>七</w:t>
      </w:r>
      <w:r>
        <w:rPr>
          <w:rFonts w:hint="eastAsia"/>
          <w:color w:val="000000" w:themeColor="text1"/>
          <w:sz w:val="20"/>
          <w:szCs w:val="20"/>
          <w14:textFill>
            <w14:solidFill>
              <w14:schemeClr w14:val="tx1"/>
            </w14:solidFill>
          </w14:textFill>
        </w:rPr>
        <w:t>）我方磋商报价包含所购买的价款、税费及所涉及的一切费用。采购人不再支付任何其他费用。</w:t>
      </w:r>
    </w:p>
    <w:p w14:paraId="2116DC83">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r>
        <w:rPr>
          <w:color w:val="000000" w:themeColor="text1"/>
          <w:sz w:val="20"/>
          <w:szCs w:val="20"/>
          <w14:textFill>
            <w14:solidFill>
              <w14:schemeClr w14:val="tx1"/>
            </w14:solidFill>
          </w14:textFill>
        </w:rPr>
        <w:t>八</w:t>
      </w:r>
      <w:r>
        <w:rPr>
          <w:rFonts w:hint="eastAsia"/>
          <w:color w:val="000000" w:themeColor="text1"/>
          <w:sz w:val="20"/>
          <w:szCs w:val="20"/>
          <w14:textFill>
            <w14:solidFill>
              <w14:schemeClr w14:val="tx1"/>
            </w14:solidFill>
          </w14:textFill>
        </w:rPr>
        <w:t>）我方接受采购人委托向贵方支付代理服务费，项目总报价已包含代理服务费，如果被确定为成交供应商，承诺向贵方足额支付。（若采购人支付代理服务费，则此条不适用）</w:t>
      </w:r>
    </w:p>
    <w:p w14:paraId="76508311">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（九）我方与其他供应商不存在单位负责人为同一人或者存在直接控股、管理关系。</w:t>
      </w:r>
    </w:p>
    <w:p w14:paraId="5BD64784">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（十）我方承诺未为本项目提供整体设计、规范编制或者项目管理、监理、检测等服务。</w:t>
      </w:r>
    </w:p>
    <w:p w14:paraId="03F0FE33">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（十</w:t>
      </w:r>
      <w:r>
        <w:rPr>
          <w:color w:val="000000" w:themeColor="text1"/>
          <w:sz w:val="20"/>
          <w:szCs w:val="20"/>
          <w14:textFill>
            <w14:solidFill>
              <w14:schemeClr w14:val="tx1"/>
            </w14:solidFill>
          </w14:textFill>
        </w:rPr>
        <w:t>一</w:t>
      </w:r>
      <w:r>
        <w:rPr>
          <w:rFonts w:hint="eastAsia"/>
          <w:color w:val="000000" w:themeColor="text1"/>
          <w:sz w:val="20"/>
          <w:szCs w:val="20"/>
          <w14:textFill>
            <w14:solidFill>
              <w14:schemeClr w14:val="tx1"/>
            </w14:solidFill>
          </w14:textFill>
        </w:rPr>
        <w:t>）我方未被列入法院失信被执行人名单中。</w:t>
      </w:r>
    </w:p>
    <w:p w14:paraId="58AA6628">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（十</w:t>
      </w:r>
      <w:r>
        <w:rPr>
          <w:color w:val="000000" w:themeColor="text1"/>
          <w:sz w:val="20"/>
          <w:szCs w:val="20"/>
          <w14:textFill>
            <w14:solidFill>
              <w14:schemeClr w14:val="tx1"/>
            </w14:solidFill>
          </w14:textFill>
        </w:rPr>
        <w:t>二</w:t>
      </w:r>
      <w:r>
        <w:rPr>
          <w:rFonts w:hint="eastAsia"/>
          <w:color w:val="000000" w:themeColor="text1"/>
          <w:sz w:val="20"/>
          <w:szCs w:val="20"/>
          <w14:textFill>
            <w14:solidFill>
              <w14:schemeClr w14:val="tx1"/>
            </w14:solidFill>
          </w14:textFill>
        </w:rPr>
        <w:t>）我方承诺遵守《中华人民共和国民法典》有关规定和《中华人民共和国妇女权益保障法》中关于“劳动和社会保障权益”的有关要求。</w:t>
      </w:r>
    </w:p>
    <w:p w14:paraId="01253FE3">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（十三）我方具备《中华人民共和国政府采购法》第二十二条规定的条件，承诺如下：</w:t>
      </w:r>
    </w:p>
    <w:p w14:paraId="5A0DCCCF">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我方参加本项目采购活动前3年内在经营活动中没有以下违法记录，或因违法经营被禁止参加政府采购活动的期限已届满：因违法经营受到刑事处罚或者责令停产停业、吊销许可证或者执照、较大数额罚款等行政处罚。</w:t>
      </w:r>
    </w:p>
    <w:p w14:paraId="28C9690B">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（2）我方符合法律、行政法规规定的其他条件。</w:t>
      </w:r>
    </w:p>
    <w:p w14:paraId="09D12F13">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以上内容如有虚假或与事实不符的，磋商小组可将我方做无效响应处理，我方愿意承担相应的法律责任。</w:t>
      </w:r>
    </w:p>
    <w:p w14:paraId="6E216683">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（十</w:t>
      </w:r>
      <w:r>
        <w:rPr>
          <w:color w:val="000000" w:themeColor="text1"/>
          <w:sz w:val="20"/>
          <w:szCs w:val="20"/>
          <w14:textFill>
            <w14:solidFill>
              <w14:schemeClr w14:val="tx1"/>
            </w14:solidFill>
          </w14:textFill>
        </w:rPr>
        <w:t>四</w:t>
      </w:r>
      <w:r>
        <w:rPr>
          <w:rFonts w:hint="eastAsia"/>
          <w:color w:val="000000" w:themeColor="text1"/>
          <w:sz w:val="20"/>
          <w:szCs w:val="20"/>
          <w14:textFill>
            <w14:solidFill>
              <w14:schemeClr w14:val="tx1"/>
            </w14:solidFill>
          </w14:textFill>
        </w:rPr>
        <w:t>）我方非联合体参与响应。</w:t>
      </w:r>
    </w:p>
    <w:p w14:paraId="0366B119">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（十五）我方对在本函及响应文件中所作的所有承诺承担法律责任。</w:t>
      </w:r>
    </w:p>
    <w:p w14:paraId="29D9DB36">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（十六）所有与本磋商有关的函件请发往下列地址：</w:t>
      </w:r>
    </w:p>
    <w:p w14:paraId="11CC19D2">
      <w:pPr>
        <w:pStyle w:val="37"/>
        <w:autoSpaceDN/>
        <w:ind w:firstLine="400"/>
        <w:rPr>
          <w:color w:val="000000" w:themeColor="text1"/>
          <w:sz w:val="20"/>
          <w:szCs w:val="20"/>
          <w14:textFill>
            <w14:solidFill>
              <w14:schemeClr w14:val="tx1"/>
            </w14:solidFill>
          </w14:textFill>
        </w:rPr>
      </w:pPr>
      <w:bookmarkStart w:id="167" w:name="_Hlk175687916"/>
      <w:bookmarkEnd w:id="167"/>
      <w:r>
        <w:rPr>
          <w:rFonts w:hint="eastAsia"/>
          <w:color w:val="000000" w:themeColor="text1"/>
          <w:sz w:val="20"/>
          <w:szCs w:val="20"/>
          <w14:textFill>
            <w14:solidFill>
              <w14:schemeClr w14:val="tx1"/>
            </w14:solidFill>
          </w14:textFill>
        </w:rPr>
        <w:t>地    址：</w:t>
      </w:r>
      <w:r>
        <w:rPr>
          <w:rFonts w:hint="eastAsia"/>
          <w:color w:val="000000" w:themeColor="text1"/>
          <w:sz w:val="20"/>
          <w:szCs w:val="20"/>
          <w:u w:val="single"/>
          <w14:textFill>
            <w14:solidFill>
              <w14:schemeClr w14:val="tx1"/>
            </w14:solidFill>
          </w14:textFill>
        </w:rPr>
        <w:t xml:space="preserve">               </w:t>
      </w:r>
    </w:p>
    <w:p w14:paraId="4A3BD946">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电    话：</w:t>
      </w:r>
      <w:r>
        <w:rPr>
          <w:rFonts w:hint="eastAsia"/>
          <w:color w:val="000000" w:themeColor="text1"/>
          <w:sz w:val="20"/>
          <w:szCs w:val="20"/>
          <w:u w:val="single"/>
          <w14:textFill>
            <w14:solidFill>
              <w14:schemeClr w14:val="tx1"/>
            </w14:solidFill>
          </w14:textFill>
        </w:rPr>
        <w:t xml:space="preserve">               </w:t>
      </w:r>
    </w:p>
    <w:p w14:paraId="44410F72">
      <w:pPr>
        <w:pStyle w:val="37"/>
        <w:autoSpaceDN/>
        <w:ind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电子邮箱：</w:t>
      </w:r>
      <w:r>
        <w:rPr>
          <w:rFonts w:hint="eastAsia"/>
          <w:color w:val="000000" w:themeColor="text1"/>
          <w:sz w:val="20"/>
          <w:szCs w:val="20"/>
          <w:u w:val="single"/>
          <w14:textFill>
            <w14:solidFill>
              <w14:schemeClr w14:val="tx1"/>
            </w14:solidFill>
          </w14:textFill>
        </w:rPr>
        <w:t xml:space="preserve">               </w:t>
      </w:r>
    </w:p>
    <w:p w14:paraId="30338E0B">
      <w:pPr>
        <w:pStyle w:val="37"/>
        <w:autoSpaceDN/>
        <w:ind w:firstLine="400"/>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代表姓名：</w:t>
      </w:r>
      <w:r>
        <w:rPr>
          <w:rFonts w:hint="eastAsia"/>
          <w:color w:val="000000" w:themeColor="text1"/>
          <w:sz w:val="20"/>
          <w:szCs w:val="20"/>
          <w:u w:val="single"/>
          <w14:textFill>
            <w14:solidFill>
              <w14:schemeClr w14:val="tx1"/>
            </w14:solidFill>
          </w14:textFill>
        </w:rPr>
        <w:t xml:space="preserve">               </w:t>
      </w:r>
    </w:p>
    <w:p w14:paraId="0F28B54A">
      <w:pPr>
        <w:pStyle w:val="37"/>
        <w:autoSpaceDN/>
        <w:ind w:firstLine="400"/>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职    务：</w:t>
      </w:r>
      <w:r>
        <w:rPr>
          <w:rFonts w:hint="eastAsia"/>
          <w:color w:val="000000" w:themeColor="text1"/>
          <w:sz w:val="20"/>
          <w:szCs w:val="20"/>
          <w:u w:val="single"/>
          <w14:textFill>
            <w14:solidFill>
              <w14:schemeClr w14:val="tx1"/>
            </w14:solidFill>
          </w14:textFill>
        </w:rPr>
        <w:t xml:space="preserve">               </w:t>
      </w:r>
    </w:p>
    <w:p w14:paraId="40EABC3D">
      <w:pPr>
        <w:pStyle w:val="37"/>
        <w:autoSpaceDN/>
        <w:ind w:firstLine="400"/>
        <w:rPr>
          <w:color w:val="000000" w:themeColor="text1"/>
          <w:sz w:val="20"/>
          <w:szCs w:val="20"/>
          <w14:textFill>
            <w14:solidFill>
              <w14:schemeClr w14:val="tx1"/>
            </w14:solidFill>
          </w14:textFill>
        </w:rPr>
      </w:pPr>
    </w:p>
    <w:p w14:paraId="5DE91A78">
      <w:pPr>
        <w:pStyle w:val="37"/>
        <w:autoSpaceDN/>
        <w:spacing w:line="480" w:lineRule="auto"/>
        <w:ind w:firstLine="0" w:firstLineChars="0"/>
        <w:jc w:val="right"/>
        <w:rPr>
          <w:color w:val="000000" w:themeColor="text1"/>
          <w:sz w:val="20"/>
          <w:szCs w:val="20"/>
          <w14:textFill>
            <w14:solidFill>
              <w14:schemeClr w14:val="tx1"/>
            </w14:solidFill>
          </w14:textFill>
        </w:rPr>
      </w:pPr>
      <w:bookmarkStart w:id="168" w:name="_Hlk112010154"/>
      <w:bookmarkEnd w:id="168"/>
      <w:r>
        <w:rPr>
          <w:rFonts w:hint="eastAsia"/>
          <w:color w:val="000000" w:themeColor="text1"/>
          <w:kern w:val="0"/>
          <w:sz w:val="20"/>
          <w:szCs w:val="20"/>
          <w14:textFill>
            <w14:solidFill>
              <w14:schemeClr w14:val="tx1"/>
            </w14:solidFill>
          </w14:textFill>
        </w:rPr>
        <w:t>供应商</w:t>
      </w:r>
      <w:r>
        <w:rPr>
          <w:rFonts w:hint="eastAsia"/>
          <w:color w:val="000000" w:themeColor="text1"/>
          <w:sz w:val="20"/>
          <w:szCs w:val="20"/>
          <w14:textFill>
            <w14:solidFill>
              <w14:schemeClr w14:val="tx1"/>
            </w14:solidFill>
          </w14:textFill>
        </w:rPr>
        <w:t>法定代表人或其授权委托人（签字或盖章）：</w:t>
      </w:r>
      <w:r>
        <w:rPr>
          <w:rFonts w:hint="eastAsia"/>
          <w:color w:val="000000" w:themeColor="text1"/>
          <w:sz w:val="20"/>
          <w:szCs w:val="20"/>
          <w:u w:val="single"/>
          <w14:textFill>
            <w14:solidFill>
              <w14:schemeClr w14:val="tx1"/>
            </w14:solidFill>
          </w14:textFill>
        </w:rPr>
        <w:t xml:space="preserve">                    .</w:t>
      </w:r>
    </w:p>
    <w:p w14:paraId="10921A2B">
      <w:pPr>
        <w:pStyle w:val="37"/>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5E7DECB2">
      <w:pPr>
        <w:pStyle w:val="37"/>
        <w:autoSpaceDN/>
        <w:spacing w:line="480" w:lineRule="auto"/>
        <w:ind w:firstLine="4134" w:firstLineChars="2067"/>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14B014AB">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sectPr>
          <w:pgSz w:w="11906" w:h="16838"/>
          <w:pgMar w:top="1440" w:right="1080" w:bottom="1440" w:left="1080" w:header="426" w:footer="992" w:gutter="0"/>
          <w:cols w:space="720" w:num="1"/>
          <w:titlePg/>
          <w:docGrid w:type="lines" w:linePitch="312" w:charSpace="0"/>
        </w:sectPr>
      </w:pPr>
      <w:bookmarkStart w:id="169" w:name="_Toc104040703"/>
      <w:bookmarkEnd w:id="169"/>
      <w:bookmarkStart w:id="170" w:name="_Toc7961"/>
    </w:p>
    <w:p w14:paraId="2A862CCC">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171" w:name="_Toc2271"/>
      <w:r>
        <w:rPr>
          <w:rFonts w:hint="eastAsia" w:ascii="宋体" w:eastAsia="宋体"/>
          <w:color w:val="000000" w:themeColor="text1"/>
          <w:sz w:val="24"/>
          <w:szCs w:val="24"/>
          <w14:textFill>
            <w14:solidFill>
              <w14:schemeClr w14:val="tx1"/>
            </w14:solidFill>
          </w14:textFill>
        </w:rPr>
        <w:t>首轮报价表</w:t>
      </w:r>
      <w:bookmarkEnd w:id="170"/>
      <w:bookmarkEnd w:id="171"/>
    </w:p>
    <w:p w14:paraId="21D34869">
      <w:pPr>
        <w:jc w:val="center"/>
        <w:rPr>
          <w:b/>
          <w:bCs/>
          <w:color w:val="000000" w:themeColor="text1"/>
          <w:sz w:val="28"/>
          <w:szCs w:val="28"/>
          <w14:textFill>
            <w14:solidFill>
              <w14:schemeClr w14:val="tx1"/>
            </w14:solidFill>
          </w14:textFill>
        </w:rPr>
      </w:pPr>
      <w:bookmarkStart w:id="172" w:name="_Hlk112010167"/>
      <w:bookmarkEnd w:id="172"/>
      <w:r>
        <w:rPr>
          <w:rFonts w:hint="eastAsia"/>
          <w:b/>
          <w:bCs/>
          <w:color w:val="000000" w:themeColor="text1"/>
          <w:sz w:val="28"/>
          <w:szCs w:val="28"/>
          <w14:textFill>
            <w14:solidFill>
              <w14:schemeClr w14:val="tx1"/>
            </w14:solidFill>
          </w14:textFill>
        </w:rPr>
        <w:t>首轮报价表</w:t>
      </w:r>
    </w:p>
    <w:p w14:paraId="61E2FB68">
      <w:pPr>
        <w:rPr>
          <w:bCs/>
          <w:color w:val="000000" w:themeColor="text1"/>
          <w:sz w:val="20"/>
          <w:szCs w:val="20"/>
          <w14:textFill>
            <w14:solidFill>
              <w14:schemeClr w14:val="tx1"/>
            </w14:solidFill>
          </w14:textFill>
        </w:rPr>
      </w:pPr>
      <w:r>
        <w:rPr>
          <w:rFonts w:hint="eastAsia"/>
          <w:bCs/>
          <w:color w:val="000000" w:themeColor="text1"/>
          <w:sz w:val="20"/>
          <w:szCs w:val="20"/>
          <w14:textFill>
            <w14:solidFill>
              <w14:schemeClr w14:val="tx1"/>
            </w14:solidFill>
          </w14:textFill>
        </w:rPr>
        <w:t>项目名称：</w:t>
      </w:r>
      <w:r>
        <w:rPr>
          <w:rFonts w:hint="eastAsia"/>
          <w:bCs/>
          <w:color w:val="000000" w:themeColor="text1"/>
          <w:sz w:val="20"/>
          <w:szCs w:val="20"/>
          <w:u w:val="single"/>
          <w14:textFill>
            <w14:solidFill>
              <w14:schemeClr w14:val="tx1"/>
            </w14:solidFill>
          </w14:textFill>
        </w:rPr>
        <w:t xml:space="preserve">                 </w:t>
      </w:r>
      <w:r>
        <w:rPr>
          <w:rFonts w:hint="eastAsia"/>
          <w:bCs/>
          <w:color w:val="000000" w:themeColor="text1"/>
          <w:sz w:val="20"/>
          <w:szCs w:val="20"/>
          <w14:textFill>
            <w14:solidFill>
              <w14:schemeClr w14:val="tx1"/>
            </w14:solidFill>
          </w14:textFill>
        </w:rPr>
        <w:t xml:space="preserve">         </w:t>
      </w:r>
    </w:p>
    <w:p w14:paraId="2813C988">
      <w:pPr>
        <w:rPr>
          <w:b/>
          <w:color w:val="000000" w:themeColor="text1"/>
          <w:sz w:val="20"/>
          <w:szCs w:val="20"/>
          <w:u w:val="single"/>
          <w14:textFill>
            <w14:solidFill>
              <w14:schemeClr w14:val="tx1"/>
            </w14:solidFill>
          </w14:textFill>
        </w:rPr>
      </w:pPr>
      <w:r>
        <w:rPr>
          <w:rFonts w:hint="eastAsia"/>
          <w:bCs/>
          <w:color w:val="000000" w:themeColor="text1"/>
          <w:sz w:val="20"/>
          <w:szCs w:val="20"/>
          <w14:textFill>
            <w14:solidFill>
              <w14:schemeClr w14:val="tx1"/>
            </w14:solidFill>
          </w14:textFill>
        </w:rPr>
        <w:t>项目编号：</w:t>
      </w:r>
      <w:r>
        <w:rPr>
          <w:rFonts w:hint="eastAsia"/>
          <w:bCs/>
          <w:color w:val="000000" w:themeColor="text1"/>
          <w:sz w:val="20"/>
          <w:szCs w:val="20"/>
          <w:u w:val="single"/>
          <w14:textFill>
            <w14:solidFill>
              <w14:schemeClr w14:val="tx1"/>
            </w14:solidFill>
          </w14:textFill>
        </w:rPr>
        <w:t xml:space="preserve">           </w:t>
      </w:r>
      <w:r>
        <w:rPr>
          <w:rFonts w:hint="eastAsia"/>
          <w:b/>
          <w:color w:val="000000" w:themeColor="text1"/>
          <w:sz w:val="20"/>
          <w:szCs w:val="20"/>
          <w:u w:val="single"/>
          <w14:textFill>
            <w14:solidFill>
              <w14:schemeClr w14:val="tx1"/>
            </w14:solidFill>
          </w14:textFill>
        </w:rPr>
        <w:t xml:space="preserve">      </w:t>
      </w:r>
    </w:p>
    <w:p w14:paraId="766F1F18">
      <w:pPr>
        <w:pStyle w:val="11"/>
        <w:rPr>
          <w:color w:val="000000" w:themeColor="text1"/>
          <w:sz w:val="20"/>
          <w:szCs w:val="20"/>
          <w14:textFill>
            <w14:solidFill>
              <w14:schemeClr w14:val="tx1"/>
            </w14:solidFill>
          </w14:textFill>
        </w:rPr>
      </w:pPr>
    </w:p>
    <w:tbl>
      <w:tblPr>
        <w:tblStyle w:val="29"/>
        <w:tblW w:w="4995"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2281"/>
        <w:gridCol w:w="2281"/>
        <w:gridCol w:w="2281"/>
        <w:gridCol w:w="2224"/>
        <w:gridCol w:w="885"/>
      </w:tblGrid>
      <w:tr w14:paraId="11D0E46F">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28" w:hRule="atLeast"/>
          <w:jc w:val="center"/>
        </w:trPr>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28184DD1">
            <w:pPr>
              <w:jc w:val="center"/>
              <w:rPr>
                <w:rFonts w:hint="eastAsia" w:ascii="宋体" w:hAnsi="宋体" w:cs="宋体"/>
                <w:b/>
                <w:bCs/>
                <w:color w:val="000000" w:themeColor="text1"/>
                <w:sz w:val="20"/>
                <w:szCs w:val="20"/>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船长（米）</w:t>
            </w:r>
          </w:p>
        </w:tc>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1058DAF1">
            <w:pPr>
              <w:jc w:val="center"/>
              <w:rPr>
                <w:rFonts w:hint="eastAsia" w:ascii="宋体" w:hAnsi="宋体" w:cs="宋体"/>
                <w:b/>
                <w:bCs/>
                <w:color w:val="000000" w:themeColor="text1"/>
                <w:sz w:val="20"/>
                <w:szCs w:val="20"/>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计费标准</w:t>
            </w:r>
          </w:p>
        </w:tc>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0E812B5C">
            <w:pPr>
              <w:jc w:val="center"/>
              <w:rPr>
                <w:rFonts w:hint="eastAsia"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保管费响应单价报价（人民币 元）</w:t>
            </w:r>
          </w:p>
        </w:tc>
        <w:tc>
          <w:tcPr>
            <w:tcW w:w="1117" w:type="pct"/>
            <w:tcBorders>
              <w:top w:val="single" w:color="auto" w:sz="4" w:space="0"/>
              <w:left w:val="single" w:color="auto" w:sz="4" w:space="0"/>
              <w:bottom w:val="single" w:color="auto" w:sz="4" w:space="0"/>
              <w:right w:val="single" w:color="auto" w:sz="4" w:space="0"/>
              <w:tl2br w:val="nil"/>
              <w:tr2bl w:val="nil"/>
            </w:tcBorders>
            <w:vAlign w:val="center"/>
          </w:tcPr>
          <w:p w14:paraId="7BF1CDFC">
            <w:pPr>
              <w:jc w:val="center"/>
              <w:rPr>
                <w:rFonts w:hint="eastAsia"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合同履行期限</w:t>
            </w:r>
          </w:p>
        </w:tc>
        <w:tc>
          <w:tcPr>
            <w:tcW w:w="442" w:type="pct"/>
            <w:tcBorders>
              <w:top w:val="single" w:color="auto" w:sz="4" w:space="0"/>
              <w:left w:val="single" w:color="auto" w:sz="4" w:space="0"/>
              <w:bottom w:val="single" w:color="auto" w:sz="4" w:space="0"/>
              <w:right w:val="single" w:color="auto" w:sz="4" w:space="0"/>
              <w:tl2br w:val="nil"/>
              <w:tr2bl w:val="nil"/>
            </w:tcBorders>
            <w:vAlign w:val="center"/>
          </w:tcPr>
          <w:p w14:paraId="66255401">
            <w:pPr>
              <w:jc w:val="center"/>
              <w:rPr>
                <w:rFonts w:hint="eastAsia" w:ascii="宋体" w:hAnsi="宋体" w:cs="宋体"/>
                <w:b/>
                <w:bCs/>
                <w:color w:val="000000" w:themeColor="text1"/>
                <w:sz w:val="20"/>
                <w:szCs w:val="20"/>
                <w14:textFill>
                  <w14:solidFill>
                    <w14:schemeClr w14:val="tx1"/>
                  </w14:solidFill>
                </w14:textFill>
              </w:rPr>
            </w:pPr>
            <w:r>
              <w:rPr>
                <w:rFonts w:hint="eastAsia" w:ascii="宋体" w:hAnsi="宋体" w:cs="宋体"/>
                <w:b/>
                <w:bCs/>
                <w:color w:val="000000" w:themeColor="text1"/>
                <w:sz w:val="20"/>
                <w:szCs w:val="20"/>
                <w14:textFill>
                  <w14:solidFill>
                    <w14:schemeClr w14:val="tx1"/>
                  </w14:solidFill>
                </w14:textFill>
              </w:rPr>
              <w:t>备注</w:t>
            </w:r>
          </w:p>
        </w:tc>
      </w:tr>
      <w:tr w14:paraId="064C27AA">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24" w:hRule="atLeast"/>
          <w:jc w:val="center"/>
        </w:trPr>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6A2B54C2">
            <w:pPr>
              <w:pStyle w:val="60"/>
              <w:spacing w:line="240" w:lineRule="auto"/>
              <w:jc w:val="center"/>
              <w:rPr>
                <w:rFonts w:hint="eastAsia" w:hAnsi="宋体" w:cs="宋体"/>
                <w:color w:val="000000" w:themeColor="text1"/>
                <w:kern w:val="28"/>
                <w:sz w:val="20"/>
                <w:szCs w:val="20"/>
                <w14:textFill>
                  <w14:solidFill>
                    <w14:schemeClr w14:val="tx1"/>
                  </w14:solidFill>
                </w14:textFill>
              </w:rPr>
            </w:pPr>
            <w:r>
              <w:rPr>
                <w:rFonts w:hint="eastAsia" w:hAnsi="宋体" w:cs="宋体"/>
                <w:color w:val="000000" w:themeColor="text1"/>
                <w14:textFill>
                  <w14:solidFill>
                    <w14:schemeClr w14:val="tx1"/>
                  </w14:solidFill>
                </w14:textFill>
              </w:rPr>
              <w:t>25以下</w:t>
            </w:r>
          </w:p>
        </w:tc>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0D2672F5">
            <w:pPr>
              <w:widowControl/>
              <w:snapToGrid w:val="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元/天/艘</w:t>
            </w:r>
          </w:p>
        </w:tc>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2557BBBF">
            <w:pPr>
              <w:rPr>
                <w:rFonts w:hint="eastAsia" w:ascii="宋体" w:hAnsi="宋体" w:cs="宋体"/>
                <w:color w:val="000000" w:themeColor="text1"/>
                <w:kern w:val="28"/>
                <w:sz w:val="20"/>
                <w:szCs w:val="20"/>
                <w:u w:val="single"/>
                <w14:textFill>
                  <w14:solidFill>
                    <w14:schemeClr w14:val="tx1"/>
                  </w14:solidFill>
                </w14:textFill>
              </w:rPr>
            </w:pPr>
            <w:r>
              <w:rPr>
                <w:rFonts w:hint="eastAsia" w:ascii="宋体" w:hAnsi="宋体" w:cs="宋体"/>
                <w:color w:val="000000" w:themeColor="text1"/>
                <w:kern w:val="28"/>
                <w:sz w:val="20"/>
                <w:szCs w:val="20"/>
                <w14:textFill>
                  <w14:solidFill>
                    <w14:schemeClr w14:val="tx1"/>
                  </w14:solidFill>
                </w14:textFill>
              </w:rPr>
              <w:t>小写：¥</w:t>
            </w:r>
            <w:r>
              <w:rPr>
                <w:rFonts w:hint="eastAsia" w:ascii="宋体" w:hAnsi="宋体" w:cs="宋体"/>
                <w:color w:val="000000" w:themeColor="text1"/>
                <w:kern w:val="28"/>
                <w:sz w:val="20"/>
                <w:szCs w:val="20"/>
                <w:u w:val="single"/>
                <w14:textFill>
                  <w14:solidFill>
                    <w14:schemeClr w14:val="tx1"/>
                  </w14:solidFill>
                </w14:textFill>
              </w:rPr>
              <w:t xml:space="preserve">            </w:t>
            </w:r>
          </w:p>
        </w:tc>
        <w:tc>
          <w:tcPr>
            <w:tcW w:w="1117" w:type="pct"/>
            <w:vMerge w:val="restart"/>
            <w:tcBorders>
              <w:top w:val="single" w:color="auto" w:sz="4" w:space="0"/>
              <w:left w:val="single" w:color="auto" w:sz="4" w:space="0"/>
              <w:right w:val="single" w:color="auto" w:sz="4" w:space="0"/>
              <w:tl2br w:val="nil"/>
              <w:tr2bl w:val="nil"/>
            </w:tcBorders>
            <w:vAlign w:val="center"/>
          </w:tcPr>
          <w:p w14:paraId="643D3FB3">
            <w:pPr>
              <w:jc w:val="center"/>
              <w:rPr>
                <w:rFonts w:hint="eastAsia"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14:textFill>
                  <w14:solidFill>
                    <w14:schemeClr w14:val="tx1"/>
                  </w14:solidFill>
                </w14:textFill>
              </w:rPr>
              <w:t>自2026年3月1日至2026年12月31日止，服务期为10个月。（以“采购金额累计达到采购预算”或“服务期限”到期，两者先到者合同结束）</w:t>
            </w:r>
          </w:p>
        </w:tc>
        <w:tc>
          <w:tcPr>
            <w:tcW w:w="442" w:type="pct"/>
            <w:vMerge w:val="restart"/>
            <w:tcBorders>
              <w:top w:val="single" w:color="auto" w:sz="4" w:space="0"/>
              <w:left w:val="single" w:color="auto" w:sz="4" w:space="0"/>
              <w:right w:val="single" w:color="auto" w:sz="4" w:space="0"/>
              <w:tl2br w:val="nil"/>
              <w:tr2bl w:val="nil"/>
            </w:tcBorders>
            <w:vAlign w:val="center"/>
          </w:tcPr>
          <w:p w14:paraId="56AB5DD6">
            <w:pPr>
              <w:jc w:val="center"/>
              <w:rPr>
                <w:rFonts w:hint="eastAsia" w:ascii="宋体" w:hAnsi="宋体" w:cs="宋体"/>
                <w:color w:val="000000" w:themeColor="text1"/>
                <w:sz w:val="20"/>
                <w:szCs w:val="20"/>
                <w14:textFill>
                  <w14:solidFill>
                    <w14:schemeClr w14:val="tx1"/>
                  </w14:solidFill>
                </w14:textFill>
              </w:rPr>
            </w:pPr>
          </w:p>
        </w:tc>
      </w:tr>
      <w:tr w14:paraId="1CBE473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24" w:hRule="atLeast"/>
          <w:jc w:val="center"/>
        </w:trPr>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33E31892">
            <w:pPr>
              <w:pStyle w:val="62"/>
              <w:spacing w:line="240" w:lineRule="auto"/>
              <w:jc w:val="center"/>
              <w:rPr>
                <w:rFonts w:hint="eastAsia" w:hAnsi="宋体" w:cs="宋体"/>
                <w:color w:val="000000" w:themeColor="text1"/>
                <w:kern w:val="28"/>
                <w:sz w:val="20"/>
                <w:szCs w:val="20"/>
                <w14:textFill>
                  <w14:solidFill>
                    <w14:schemeClr w14:val="tx1"/>
                  </w14:solidFill>
                </w14:textFill>
              </w:rPr>
            </w:pPr>
            <w:r>
              <w:rPr>
                <w:rFonts w:hint="eastAsia" w:hAnsi="宋体" w:cs="宋体"/>
                <w:color w:val="000000" w:themeColor="text1"/>
                <w14:textFill>
                  <w14:solidFill>
                    <w14:schemeClr w14:val="tx1"/>
                  </w14:solidFill>
                </w14:textFill>
              </w:rPr>
              <w:t>25（含）-50（不含）</w:t>
            </w:r>
          </w:p>
        </w:tc>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40E953A8">
            <w:pPr>
              <w:snapToGrid w:val="0"/>
              <w:jc w:val="center"/>
              <w:rPr>
                <w:rFonts w:hint="eastAsia" w:ascii="宋体" w:hAnsi="宋体" w:cs="宋体"/>
                <w:b/>
                <w:bCs/>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元/天/艘</w:t>
            </w:r>
          </w:p>
        </w:tc>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0A1E8FAC">
            <w:pPr>
              <w:rPr>
                <w:rFonts w:hint="eastAsia" w:ascii="宋体" w:hAnsi="宋体" w:cs="宋体"/>
                <w:color w:val="000000" w:themeColor="text1"/>
                <w:kern w:val="28"/>
                <w:sz w:val="20"/>
                <w:szCs w:val="20"/>
                <w14:textFill>
                  <w14:solidFill>
                    <w14:schemeClr w14:val="tx1"/>
                  </w14:solidFill>
                </w14:textFill>
              </w:rPr>
            </w:pPr>
            <w:r>
              <w:rPr>
                <w:rFonts w:hint="eastAsia" w:ascii="宋体" w:hAnsi="宋体" w:cs="宋体"/>
                <w:color w:val="000000" w:themeColor="text1"/>
                <w:kern w:val="28"/>
                <w:sz w:val="20"/>
                <w:szCs w:val="20"/>
                <w14:textFill>
                  <w14:solidFill>
                    <w14:schemeClr w14:val="tx1"/>
                  </w14:solidFill>
                </w14:textFill>
              </w:rPr>
              <w:t>小写：¥</w:t>
            </w:r>
            <w:r>
              <w:rPr>
                <w:rFonts w:hint="eastAsia" w:ascii="宋体" w:hAnsi="宋体" w:cs="宋体"/>
                <w:color w:val="000000" w:themeColor="text1"/>
                <w:kern w:val="28"/>
                <w:sz w:val="20"/>
                <w:szCs w:val="20"/>
                <w:u w:val="single"/>
                <w14:textFill>
                  <w14:solidFill>
                    <w14:schemeClr w14:val="tx1"/>
                  </w14:solidFill>
                </w14:textFill>
              </w:rPr>
              <w:t xml:space="preserve">            </w:t>
            </w:r>
          </w:p>
        </w:tc>
        <w:tc>
          <w:tcPr>
            <w:tcW w:w="1117" w:type="pct"/>
            <w:vMerge w:val="continue"/>
            <w:tcBorders>
              <w:left w:val="single" w:color="auto" w:sz="4" w:space="0"/>
              <w:right w:val="single" w:color="auto" w:sz="4" w:space="0"/>
              <w:tl2br w:val="nil"/>
              <w:tr2bl w:val="nil"/>
            </w:tcBorders>
            <w:vAlign w:val="center"/>
          </w:tcPr>
          <w:p w14:paraId="661E0E00">
            <w:pPr>
              <w:jc w:val="center"/>
              <w:rPr>
                <w:rFonts w:hint="eastAsia" w:ascii="宋体" w:hAnsi="宋体" w:cs="宋体"/>
                <w:color w:val="000000" w:themeColor="text1"/>
                <w14:textFill>
                  <w14:solidFill>
                    <w14:schemeClr w14:val="tx1"/>
                  </w14:solidFill>
                </w14:textFill>
              </w:rPr>
            </w:pPr>
          </w:p>
        </w:tc>
        <w:tc>
          <w:tcPr>
            <w:tcW w:w="442" w:type="pct"/>
            <w:vMerge w:val="continue"/>
            <w:tcBorders>
              <w:left w:val="single" w:color="auto" w:sz="4" w:space="0"/>
              <w:right w:val="single" w:color="auto" w:sz="4" w:space="0"/>
              <w:tl2br w:val="nil"/>
              <w:tr2bl w:val="nil"/>
            </w:tcBorders>
            <w:vAlign w:val="center"/>
          </w:tcPr>
          <w:p w14:paraId="2F9D29AC">
            <w:pPr>
              <w:jc w:val="center"/>
              <w:rPr>
                <w:rFonts w:hint="eastAsia" w:ascii="宋体" w:hAnsi="宋体" w:cs="宋体"/>
                <w:color w:val="000000" w:themeColor="text1"/>
                <w:sz w:val="20"/>
                <w:szCs w:val="20"/>
                <w14:textFill>
                  <w14:solidFill>
                    <w14:schemeClr w14:val="tx1"/>
                  </w14:solidFill>
                </w14:textFill>
              </w:rPr>
            </w:pPr>
          </w:p>
        </w:tc>
      </w:tr>
      <w:tr w14:paraId="290755A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24" w:hRule="atLeast"/>
          <w:jc w:val="center"/>
        </w:trPr>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7045A54E">
            <w:pPr>
              <w:pStyle w:val="65"/>
              <w:spacing w:line="240" w:lineRule="auto"/>
              <w:jc w:val="center"/>
              <w:rPr>
                <w:rFonts w:hint="eastAsia" w:hAnsi="宋体" w:cs="宋体"/>
                <w:color w:val="000000" w:themeColor="text1"/>
                <w:kern w:val="28"/>
                <w:sz w:val="20"/>
                <w:szCs w:val="20"/>
                <w14:textFill>
                  <w14:solidFill>
                    <w14:schemeClr w14:val="tx1"/>
                  </w14:solidFill>
                </w14:textFill>
              </w:rPr>
            </w:pPr>
            <w:r>
              <w:rPr>
                <w:rFonts w:hint="eastAsia" w:hAnsi="宋体" w:cs="宋体"/>
                <w:color w:val="000000" w:themeColor="text1"/>
                <w14:textFill>
                  <w14:solidFill>
                    <w14:schemeClr w14:val="tx1"/>
                  </w14:solidFill>
                </w14:textFill>
              </w:rPr>
              <w:t>50（含）-80（不含）</w:t>
            </w:r>
          </w:p>
        </w:tc>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74A7C4FD">
            <w:pPr>
              <w:widowControl/>
              <w:snapToGrid w:val="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元/天/艘</w:t>
            </w:r>
          </w:p>
        </w:tc>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129AA50A">
            <w:pPr>
              <w:rPr>
                <w:rFonts w:hint="eastAsia" w:ascii="宋体" w:hAnsi="宋体" w:cs="宋体"/>
                <w:color w:val="000000" w:themeColor="text1"/>
                <w:kern w:val="28"/>
                <w:sz w:val="20"/>
                <w:szCs w:val="20"/>
                <w14:textFill>
                  <w14:solidFill>
                    <w14:schemeClr w14:val="tx1"/>
                  </w14:solidFill>
                </w14:textFill>
              </w:rPr>
            </w:pPr>
            <w:r>
              <w:rPr>
                <w:rFonts w:hint="eastAsia" w:ascii="宋体" w:hAnsi="宋体" w:cs="宋体"/>
                <w:color w:val="000000" w:themeColor="text1"/>
                <w:kern w:val="28"/>
                <w:sz w:val="20"/>
                <w:szCs w:val="20"/>
                <w14:textFill>
                  <w14:solidFill>
                    <w14:schemeClr w14:val="tx1"/>
                  </w14:solidFill>
                </w14:textFill>
              </w:rPr>
              <w:t>小写：¥</w:t>
            </w:r>
            <w:r>
              <w:rPr>
                <w:rFonts w:hint="eastAsia" w:ascii="宋体" w:hAnsi="宋体" w:cs="宋体"/>
                <w:color w:val="000000" w:themeColor="text1"/>
                <w:kern w:val="28"/>
                <w:sz w:val="20"/>
                <w:szCs w:val="20"/>
                <w:u w:val="single"/>
                <w14:textFill>
                  <w14:solidFill>
                    <w14:schemeClr w14:val="tx1"/>
                  </w14:solidFill>
                </w14:textFill>
              </w:rPr>
              <w:t xml:space="preserve">            </w:t>
            </w:r>
          </w:p>
        </w:tc>
        <w:tc>
          <w:tcPr>
            <w:tcW w:w="1117" w:type="pct"/>
            <w:vMerge w:val="continue"/>
            <w:tcBorders>
              <w:left w:val="single" w:color="auto" w:sz="4" w:space="0"/>
              <w:right w:val="single" w:color="auto" w:sz="4" w:space="0"/>
              <w:tl2br w:val="nil"/>
              <w:tr2bl w:val="nil"/>
            </w:tcBorders>
            <w:vAlign w:val="center"/>
          </w:tcPr>
          <w:p w14:paraId="595C62B2">
            <w:pPr>
              <w:jc w:val="center"/>
              <w:rPr>
                <w:rFonts w:hint="eastAsia" w:ascii="宋体" w:hAnsi="宋体" w:cs="宋体"/>
                <w:color w:val="000000" w:themeColor="text1"/>
                <w14:textFill>
                  <w14:solidFill>
                    <w14:schemeClr w14:val="tx1"/>
                  </w14:solidFill>
                </w14:textFill>
              </w:rPr>
            </w:pPr>
          </w:p>
        </w:tc>
        <w:tc>
          <w:tcPr>
            <w:tcW w:w="442" w:type="pct"/>
            <w:vMerge w:val="continue"/>
            <w:tcBorders>
              <w:left w:val="single" w:color="auto" w:sz="4" w:space="0"/>
              <w:right w:val="single" w:color="auto" w:sz="4" w:space="0"/>
              <w:tl2br w:val="nil"/>
              <w:tr2bl w:val="nil"/>
            </w:tcBorders>
            <w:vAlign w:val="center"/>
          </w:tcPr>
          <w:p w14:paraId="5BB3FA3F">
            <w:pPr>
              <w:jc w:val="center"/>
              <w:rPr>
                <w:rFonts w:hint="eastAsia" w:ascii="宋体" w:hAnsi="宋体" w:cs="宋体"/>
                <w:color w:val="000000" w:themeColor="text1"/>
                <w:sz w:val="20"/>
                <w:szCs w:val="20"/>
                <w14:textFill>
                  <w14:solidFill>
                    <w14:schemeClr w14:val="tx1"/>
                  </w14:solidFill>
                </w14:textFill>
              </w:rPr>
            </w:pPr>
          </w:p>
        </w:tc>
      </w:tr>
      <w:tr w14:paraId="27F5F41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24" w:hRule="atLeast"/>
          <w:jc w:val="center"/>
        </w:trPr>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454522CC">
            <w:pPr>
              <w:pStyle w:val="66"/>
              <w:spacing w:line="240" w:lineRule="auto"/>
              <w:jc w:val="center"/>
              <w:rPr>
                <w:rFonts w:hint="eastAsia" w:hAnsi="宋体" w:cs="宋体"/>
                <w:color w:val="000000" w:themeColor="text1"/>
                <w:kern w:val="28"/>
                <w:sz w:val="20"/>
                <w:szCs w:val="20"/>
                <w14:textFill>
                  <w14:solidFill>
                    <w14:schemeClr w14:val="tx1"/>
                  </w14:solidFill>
                </w14:textFill>
              </w:rPr>
            </w:pPr>
            <w:r>
              <w:rPr>
                <w:rFonts w:hint="eastAsia" w:hAnsi="宋体" w:cs="宋体"/>
                <w:color w:val="000000" w:themeColor="text1"/>
                <w14:textFill>
                  <w14:solidFill>
                    <w14:schemeClr w14:val="tx1"/>
                  </w14:solidFill>
                </w14:textFill>
              </w:rPr>
              <w:t>80（含）-100（不含）</w:t>
            </w:r>
          </w:p>
        </w:tc>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1961496C">
            <w:pPr>
              <w:widowControl/>
              <w:snapToGrid w:val="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元/天/艘</w:t>
            </w:r>
          </w:p>
        </w:tc>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0E58FA85">
            <w:pPr>
              <w:rPr>
                <w:rFonts w:hint="eastAsia" w:ascii="宋体" w:hAnsi="宋体" w:cs="宋体"/>
                <w:color w:val="000000" w:themeColor="text1"/>
                <w:kern w:val="28"/>
                <w:sz w:val="20"/>
                <w:szCs w:val="20"/>
                <w14:textFill>
                  <w14:solidFill>
                    <w14:schemeClr w14:val="tx1"/>
                  </w14:solidFill>
                </w14:textFill>
              </w:rPr>
            </w:pPr>
            <w:r>
              <w:rPr>
                <w:rFonts w:hint="eastAsia" w:ascii="宋体" w:hAnsi="宋体" w:cs="宋体"/>
                <w:color w:val="000000" w:themeColor="text1"/>
                <w:kern w:val="28"/>
                <w:sz w:val="20"/>
                <w:szCs w:val="20"/>
                <w14:textFill>
                  <w14:solidFill>
                    <w14:schemeClr w14:val="tx1"/>
                  </w14:solidFill>
                </w14:textFill>
              </w:rPr>
              <w:t>小写：¥</w:t>
            </w:r>
            <w:r>
              <w:rPr>
                <w:rFonts w:hint="eastAsia" w:ascii="宋体" w:hAnsi="宋体" w:cs="宋体"/>
                <w:color w:val="000000" w:themeColor="text1"/>
                <w:kern w:val="28"/>
                <w:sz w:val="20"/>
                <w:szCs w:val="20"/>
                <w:u w:val="single"/>
                <w14:textFill>
                  <w14:solidFill>
                    <w14:schemeClr w14:val="tx1"/>
                  </w14:solidFill>
                </w14:textFill>
              </w:rPr>
              <w:t xml:space="preserve">            </w:t>
            </w:r>
          </w:p>
        </w:tc>
        <w:tc>
          <w:tcPr>
            <w:tcW w:w="1117" w:type="pct"/>
            <w:vMerge w:val="continue"/>
            <w:tcBorders>
              <w:left w:val="single" w:color="auto" w:sz="4" w:space="0"/>
              <w:right w:val="single" w:color="auto" w:sz="4" w:space="0"/>
              <w:tl2br w:val="nil"/>
              <w:tr2bl w:val="nil"/>
            </w:tcBorders>
            <w:vAlign w:val="center"/>
          </w:tcPr>
          <w:p w14:paraId="0BC4B839">
            <w:pPr>
              <w:jc w:val="center"/>
              <w:rPr>
                <w:rFonts w:hint="eastAsia" w:ascii="宋体" w:hAnsi="宋体" w:cs="宋体"/>
                <w:color w:val="000000" w:themeColor="text1"/>
                <w14:textFill>
                  <w14:solidFill>
                    <w14:schemeClr w14:val="tx1"/>
                  </w14:solidFill>
                </w14:textFill>
              </w:rPr>
            </w:pPr>
          </w:p>
        </w:tc>
        <w:tc>
          <w:tcPr>
            <w:tcW w:w="442" w:type="pct"/>
            <w:vMerge w:val="continue"/>
            <w:tcBorders>
              <w:left w:val="single" w:color="auto" w:sz="4" w:space="0"/>
              <w:right w:val="single" w:color="auto" w:sz="4" w:space="0"/>
              <w:tl2br w:val="nil"/>
              <w:tr2bl w:val="nil"/>
            </w:tcBorders>
            <w:vAlign w:val="center"/>
          </w:tcPr>
          <w:p w14:paraId="5A2BCFEE">
            <w:pPr>
              <w:jc w:val="center"/>
              <w:rPr>
                <w:rFonts w:hint="eastAsia" w:ascii="宋体" w:hAnsi="宋体" w:cs="宋体"/>
                <w:color w:val="000000" w:themeColor="text1"/>
                <w:sz w:val="20"/>
                <w:szCs w:val="20"/>
                <w14:textFill>
                  <w14:solidFill>
                    <w14:schemeClr w14:val="tx1"/>
                  </w14:solidFill>
                </w14:textFill>
              </w:rPr>
            </w:pPr>
          </w:p>
        </w:tc>
      </w:tr>
      <w:tr w14:paraId="7B1023E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24" w:hRule="atLeast"/>
          <w:jc w:val="center"/>
        </w:trPr>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5796B8CA">
            <w:pPr>
              <w:pStyle w:val="66"/>
              <w:spacing w:line="240" w:lineRule="auto"/>
              <w:jc w:val="center"/>
              <w:rPr>
                <w:rFonts w:hint="eastAsia" w:hAnsi="宋体" w:cs="宋体"/>
                <w:color w:val="000000" w:themeColor="text1"/>
                <w:kern w:val="28"/>
                <w:sz w:val="20"/>
                <w:szCs w:val="20"/>
                <w14:textFill>
                  <w14:solidFill>
                    <w14:schemeClr w14:val="tx1"/>
                  </w14:solidFill>
                </w14:textFill>
              </w:rPr>
            </w:pPr>
            <w:r>
              <w:rPr>
                <w:rFonts w:hint="eastAsia" w:hAnsi="宋体" w:cs="宋体"/>
                <w:color w:val="000000" w:themeColor="text1"/>
                <w14:textFill>
                  <w14:solidFill>
                    <w14:schemeClr w14:val="tx1"/>
                  </w14:solidFill>
                </w14:textFill>
              </w:rPr>
              <w:t>100（含）以上</w:t>
            </w:r>
          </w:p>
        </w:tc>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77BD07A0">
            <w:pPr>
              <w:widowControl/>
              <w:snapToGrid w:val="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元/天/艘</w:t>
            </w:r>
          </w:p>
        </w:tc>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1BACD82D">
            <w:pPr>
              <w:rPr>
                <w:rFonts w:hint="eastAsia" w:ascii="宋体" w:hAnsi="宋体" w:cs="宋体"/>
                <w:color w:val="000000" w:themeColor="text1"/>
                <w:kern w:val="28"/>
                <w:sz w:val="20"/>
                <w:szCs w:val="20"/>
                <w14:textFill>
                  <w14:solidFill>
                    <w14:schemeClr w14:val="tx1"/>
                  </w14:solidFill>
                </w14:textFill>
              </w:rPr>
            </w:pPr>
            <w:r>
              <w:rPr>
                <w:rFonts w:hint="eastAsia" w:ascii="宋体" w:hAnsi="宋体" w:cs="宋体"/>
                <w:color w:val="000000" w:themeColor="text1"/>
                <w:kern w:val="28"/>
                <w:sz w:val="20"/>
                <w:szCs w:val="20"/>
                <w14:textFill>
                  <w14:solidFill>
                    <w14:schemeClr w14:val="tx1"/>
                  </w14:solidFill>
                </w14:textFill>
              </w:rPr>
              <w:t>小写：¥</w:t>
            </w:r>
            <w:r>
              <w:rPr>
                <w:rFonts w:hint="eastAsia" w:ascii="宋体" w:hAnsi="宋体" w:cs="宋体"/>
                <w:color w:val="000000" w:themeColor="text1"/>
                <w:kern w:val="28"/>
                <w:sz w:val="20"/>
                <w:szCs w:val="20"/>
                <w:u w:val="single"/>
                <w14:textFill>
                  <w14:solidFill>
                    <w14:schemeClr w14:val="tx1"/>
                  </w14:solidFill>
                </w14:textFill>
              </w:rPr>
              <w:t xml:space="preserve">            </w:t>
            </w:r>
          </w:p>
        </w:tc>
        <w:tc>
          <w:tcPr>
            <w:tcW w:w="1117" w:type="pct"/>
            <w:vMerge w:val="continue"/>
            <w:tcBorders>
              <w:left w:val="single" w:color="auto" w:sz="4" w:space="0"/>
              <w:right w:val="single" w:color="auto" w:sz="4" w:space="0"/>
              <w:tl2br w:val="nil"/>
              <w:tr2bl w:val="nil"/>
            </w:tcBorders>
            <w:vAlign w:val="center"/>
          </w:tcPr>
          <w:p w14:paraId="6938E3F6">
            <w:pPr>
              <w:jc w:val="center"/>
              <w:rPr>
                <w:rFonts w:hint="eastAsia" w:ascii="宋体" w:hAnsi="宋体" w:cs="宋体"/>
                <w:color w:val="000000" w:themeColor="text1"/>
                <w14:textFill>
                  <w14:solidFill>
                    <w14:schemeClr w14:val="tx1"/>
                  </w14:solidFill>
                </w14:textFill>
              </w:rPr>
            </w:pPr>
          </w:p>
        </w:tc>
        <w:tc>
          <w:tcPr>
            <w:tcW w:w="442" w:type="pct"/>
            <w:vMerge w:val="continue"/>
            <w:tcBorders>
              <w:left w:val="single" w:color="auto" w:sz="4" w:space="0"/>
              <w:right w:val="single" w:color="auto" w:sz="4" w:space="0"/>
              <w:tl2br w:val="nil"/>
              <w:tr2bl w:val="nil"/>
            </w:tcBorders>
            <w:vAlign w:val="center"/>
          </w:tcPr>
          <w:p w14:paraId="4746FFE6">
            <w:pPr>
              <w:jc w:val="center"/>
              <w:rPr>
                <w:rFonts w:hint="eastAsia" w:ascii="宋体" w:hAnsi="宋体" w:cs="宋体"/>
                <w:color w:val="000000" w:themeColor="text1"/>
                <w:sz w:val="20"/>
                <w:szCs w:val="20"/>
                <w14:textFill>
                  <w14:solidFill>
                    <w14:schemeClr w14:val="tx1"/>
                  </w14:solidFill>
                </w14:textFill>
              </w:rPr>
            </w:pPr>
          </w:p>
        </w:tc>
      </w:tr>
      <w:tr w14:paraId="5D56BB5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979" w:hRule="atLeast"/>
          <w:jc w:val="center"/>
        </w:trPr>
        <w:tc>
          <w:tcPr>
            <w:tcW w:w="1146" w:type="pct"/>
            <w:tcBorders>
              <w:top w:val="single" w:color="auto" w:sz="4" w:space="0"/>
              <w:left w:val="single" w:color="auto" w:sz="4" w:space="0"/>
              <w:bottom w:val="single" w:color="auto" w:sz="4" w:space="0"/>
              <w:right w:val="single" w:color="auto" w:sz="4" w:space="0"/>
              <w:tl2br w:val="nil"/>
              <w:tr2bl w:val="nil"/>
            </w:tcBorders>
            <w:vAlign w:val="center"/>
          </w:tcPr>
          <w:p w14:paraId="00A19654">
            <w:pPr>
              <w:pStyle w:val="66"/>
              <w:spacing w:line="240" w:lineRule="auto"/>
              <w:jc w:val="center"/>
              <w:rPr>
                <w:rFonts w:hint="eastAsia" w:hAnsi="宋体" w:cs="宋体"/>
                <w:color w:val="000000" w:themeColor="text1"/>
                <w14:textFill>
                  <w14:solidFill>
                    <w14:schemeClr w14:val="tx1"/>
                  </w14:solidFill>
                </w14:textFill>
              </w:rPr>
            </w:pPr>
            <w:r>
              <w:rPr>
                <w:rFonts w:hint="eastAsia" w:hAnsi="宋体" w:cs="宋体"/>
                <w:b/>
                <w:color w:val="000000" w:themeColor="text1"/>
                <w14:textFill>
                  <w14:solidFill>
                    <w14:schemeClr w14:val="tx1"/>
                  </w14:solidFill>
                </w14:textFill>
              </w:rPr>
              <w:t>船舶保管费响应单价报价之和</w:t>
            </w:r>
          </w:p>
        </w:tc>
        <w:tc>
          <w:tcPr>
            <w:tcW w:w="3853" w:type="pct"/>
            <w:gridSpan w:val="4"/>
            <w:tcBorders>
              <w:top w:val="single" w:color="auto" w:sz="4" w:space="0"/>
              <w:left w:val="single" w:color="auto" w:sz="4" w:space="0"/>
              <w:bottom w:val="single" w:color="auto" w:sz="4" w:space="0"/>
              <w:right w:val="single" w:color="auto" w:sz="4" w:space="0"/>
              <w:tl2br w:val="nil"/>
              <w:tr2bl w:val="nil"/>
            </w:tcBorders>
            <w:vAlign w:val="center"/>
          </w:tcPr>
          <w:p w14:paraId="38D23710">
            <w:pPr>
              <w:jc w:val="left"/>
              <w:rPr>
                <w:rFonts w:hint="eastAsia" w:ascii="宋体" w:hAnsi="宋体" w:cs="宋体"/>
                <w:color w:val="000000" w:themeColor="text1"/>
                <w:kern w:val="28"/>
                <w:sz w:val="20"/>
                <w:szCs w:val="20"/>
                <w:u w:val="single"/>
                <w14:textFill>
                  <w14:solidFill>
                    <w14:schemeClr w14:val="tx1"/>
                  </w14:solidFill>
                </w14:textFill>
              </w:rPr>
            </w:pPr>
            <w:r>
              <w:rPr>
                <w:rFonts w:hint="eastAsia" w:ascii="宋体" w:hAnsi="宋体" w:cs="宋体"/>
                <w:color w:val="000000" w:themeColor="text1"/>
                <w:sz w:val="20"/>
                <w:szCs w:val="20"/>
                <w14:textFill>
                  <w14:solidFill>
                    <w14:schemeClr w14:val="tx1"/>
                  </w14:solidFill>
                </w14:textFill>
              </w:rPr>
              <w:t>小写：</w:t>
            </w:r>
            <w:r>
              <w:rPr>
                <w:rFonts w:hint="eastAsia" w:ascii="宋体" w:hAnsi="宋体" w:cs="宋体"/>
                <w:color w:val="000000" w:themeColor="text1"/>
                <w:kern w:val="28"/>
                <w:sz w:val="20"/>
                <w:szCs w:val="20"/>
                <w14:textFill>
                  <w14:solidFill>
                    <w14:schemeClr w14:val="tx1"/>
                  </w14:solidFill>
                </w14:textFill>
              </w:rPr>
              <w:t>¥</w:t>
            </w:r>
            <w:r>
              <w:rPr>
                <w:rFonts w:hint="eastAsia" w:ascii="宋体" w:hAnsi="宋体" w:cs="宋体"/>
                <w:color w:val="000000" w:themeColor="text1"/>
                <w:kern w:val="28"/>
                <w:sz w:val="20"/>
                <w:szCs w:val="20"/>
                <w:u w:val="single"/>
                <w14:textFill>
                  <w14:solidFill>
                    <w14:schemeClr w14:val="tx1"/>
                  </w14:solidFill>
                </w14:textFill>
              </w:rPr>
              <w:t xml:space="preserve">               </w:t>
            </w:r>
          </w:p>
          <w:p w14:paraId="15C3EBF5">
            <w:pPr>
              <w:jc w:val="left"/>
              <w:rPr>
                <w:rFonts w:hint="eastAsia" w:ascii="宋体" w:hAnsi="宋体" w:cs="宋体"/>
                <w:color w:val="000000" w:themeColor="text1"/>
                <w:kern w:val="28"/>
                <w:sz w:val="20"/>
                <w:szCs w:val="20"/>
                <w:u w:val="single"/>
                <w14:textFill>
                  <w14:solidFill>
                    <w14:schemeClr w14:val="tx1"/>
                  </w14:solidFill>
                </w14:textFill>
              </w:rPr>
            </w:pPr>
            <w:r>
              <w:rPr>
                <w:rFonts w:hint="eastAsia" w:ascii="宋体" w:hAnsi="宋体" w:cs="宋体"/>
                <w:color w:val="000000" w:themeColor="text1"/>
                <w:kern w:val="28"/>
                <w:sz w:val="20"/>
                <w:szCs w:val="20"/>
                <w14:textFill>
                  <w14:solidFill>
                    <w14:schemeClr w14:val="tx1"/>
                  </w14:solidFill>
                </w14:textFill>
              </w:rPr>
              <w:t>大写：人民币</w:t>
            </w:r>
            <w:r>
              <w:rPr>
                <w:rFonts w:hint="eastAsia" w:ascii="宋体" w:hAnsi="宋体" w:cs="宋体"/>
                <w:color w:val="000000" w:themeColor="text1"/>
                <w:kern w:val="28"/>
                <w:sz w:val="20"/>
                <w:szCs w:val="20"/>
                <w:u w:val="single"/>
                <w14:textFill>
                  <w14:solidFill>
                    <w14:schemeClr w14:val="tx1"/>
                  </w14:solidFill>
                </w14:textFill>
              </w:rPr>
              <w:t xml:space="preserve">          </w:t>
            </w:r>
          </w:p>
        </w:tc>
      </w:tr>
    </w:tbl>
    <w:p w14:paraId="5077DBDB">
      <w:pPr>
        <w:rPr>
          <w:rFonts w:hint="eastAsia" w:ascii="宋体" w:hAnsi="宋体" w:cs="宋体"/>
          <w:color w:val="000000" w:themeColor="text1"/>
          <w:sz w:val="20"/>
          <w:szCs w:val="20"/>
          <w14:textFill>
            <w14:solidFill>
              <w14:schemeClr w14:val="tx1"/>
            </w14:solidFill>
          </w14:textFill>
        </w:rPr>
      </w:pPr>
    </w:p>
    <w:p w14:paraId="2B4B4344">
      <w:pPr>
        <w:rPr>
          <w:rFonts w:hint="eastAsia"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sz w:val="20"/>
          <w:szCs w:val="20"/>
          <w14:textFill>
            <w14:solidFill>
              <w14:schemeClr w14:val="tx1"/>
            </w14:solidFill>
          </w14:textFill>
        </w:rPr>
        <w:t>注：</w:t>
      </w:r>
    </w:p>
    <w:p w14:paraId="341D6DF2">
      <w:pPr>
        <w:rPr>
          <w:rFonts w:hint="eastAsia" w:ascii="宋体" w:hAnsi="宋体" w:cs="宋体"/>
          <w:color w:val="000000" w:themeColor="text1"/>
          <w:sz w:val="20"/>
          <w:szCs w:val="20"/>
          <w14:textFill>
            <w14:solidFill>
              <w14:schemeClr w14:val="tx1"/>
            </w14:solidFill>
          </w14:textFill>
        </w:rPr>
      </w:pPr>
      <w:bookmarkStart w:id="173" w:name="_Hlk67046034"/>
      <w:bookmarkEnd w:id="173"/>
      <w:r>
        <w:rPr>
          <w:rFonts w:hint="eastAsia" w:ascii="宋体" w:hAnsi="宋体" w:cs="宋体"/>
          <w:color w:val="000000" w:themeColor="text1"/>
          <w:sz w:val="20"/>
          <w:szCs w:val="20"/>
          <w14:textFill>
            <w14:solidFill>
              <w14:schemeClr w14:val="tx1"/>
            </w14:solidFill>
          </w14:textFill>
        </w:rPr>
        <w:t>1.合同履行期限：按照磋商文件相应合同履行期限要求填写。</w:t>
      </w:r>
    </w:p>
    <w:p w14:paraId="07EA35AA">
      <w:pPr>
        <w:rPr>
          <w:rFonts w:hint="eastAsia"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sz w:val="20"/>
          <w:szCs w:val="20"/>
          <w14:textFill>
            <w14:solidFill>
              <w14:schemeClr w14:val="tx1"/>
            </w14:solidFill>
          </w14:textFill>
        </w:rPr>
        <w:t>2.中文大写金额用汉字，如壹、贰、叁、肆、伍、陆、柒、捌、玖、拾、佰、仟、万、亿、元、角、分、零、整（正）等。</w:t>
      </w:r>
    </w:p>
    <w:p w14:paraId="67AE1BEF">
      <w:pPr>
        <w:rPr>
          <w:rFonts w:hint="eastAsia"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sz w:val="20"/>
          <w:szCs w:val="20"/>
          <w14:textFill>
            <w14:solidFill>
              <w14:schemeClr w14:val="tx1"/>
            </w14:solidFill>
          </w14:textFill>
        </w:rPr>
        <w:t>3.响应报价若涉及小数填写的，小数位数不得超过两位。</w:t>
      </w:r>
    </w:p>
    <w:p w14:paraId="42457490">
      <w:pPr>
        <w:rPr>
          <w:b/>
          <w:bCs/>
          <w:color w:val="000000" w:themeColor="text1"/>
          <w:sz w:val="20"/>
          <w:szCs w:val="20"/>
          <w14:textFill>
            <w14:solidFill>
              <w14:schemeClr w14:val="tx1"/>
            </w14:solidFill>
          </w14:textFill>
        </w:rPr>
      </w:pPr>
      <w:r>
        <w:rPr>
          <w:rFonts w:hint="eastAsia" w:ascii="宋体" w:hAnsi="宋体" w:cs="宋体"/>
          <w:b/>
          <w:bCs/>
          <w:color w:val="000000" w:themeColor="text1"/>
          <w:sz w:val="20"/>
          <w:szCs w:val="20"/>
          <w14:textFill>
            <w14:solidFill>
              <w14:schemeClr w14:val="tx1"/>
            </w14:solidFill>
          </w14:textFill>
        </w:rPr>
        <w:t>4.保管费响应单价报价超过单价最高限价的，</w:t>
      </w:r>
      <w:r>
        <w:rPr>
          <w:rFonts w:hint="eastAsia"/>
          <w:b/>
          <w:bCs/>
          <w:color w:val="000000" w:themeColor="text1"/>
          <w:sz w:val="20"/>
          <w:szCs w:val="20"/>
          <w14:textFill>
            <w14:solidFill>
              <w14:schemeClr w14:val="tx1"/>
            </w14:solidFill>
          </w14:textFill>
        </w:rPr>
        <w:t>将作无效响应处理。</w:t>
      </w:r>
    </w:p>
    <w:p w14:paraId="70DC3F2F">
      <w:pPr>
        <w:adjustRightInd w:val="0"/>
        <w:snapToGrid w:val="0"/>
        <w:spacing w:line="300" w:lineRule="auto"/>
        <w:rPr>
          <w:color w:val="000000" w:themeColor="text1"/>
          <w:sz w:val="20"/>
          <w:szCs w:val="20"/>
          <w14:textFill>
            <w14:solidFill>
              <w14:schemeClr w14:val="tx1"/>
            </w14:solidFill>
          </w14:textFill>
        </w:rPr>
      </w:pPr>
    </w:p>
    <w:p w14:paraId="69FD7814">
      <w:pPr>
        <w:pStyle w:val="11"/>
        <w:rPr>
          <w:color w:val="000000" w:themeColor="text1"/>
          <w:sz w:val="20"/>
          <w:szCs w:val="20"/>
          <w14:textFill>
            <w14:solidFill>
              <w14:schemeClr w14:val="tx1"/>
            </w14:solidFill>
          </w14:textFill>
        </w:rPr>
      </w:pPr>
    </w:p>
    <w:p w14:paraId="4AB18F34">
      <w:pPr>
        <w:pStyle w:val="37"/>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供应商</w:t>
      </w:r>
      <w:r>
        <w:rPr>
          <w:rFonts w:hint="eastAsia"/>
          <w:color w:val="000000" w:themeColor="text1"/>
          <w:sz w:val="20"/>
          <w:szCs w:val="20"/>
          <w14:textFill>
            <w14:solidFill>
              <w14:schemeClr w14:val="tx1"/>
            </w14:solidFill>
          </w14:textFill>
        </w:rPr>
        <w:t>法定代表人或其授权委托人（签字或盖章）：</w:t>
      </w:r>
      <w:r>
        <w:rPr>
          <w:rFonts w:hint="eastAsia"/>
          <w:color w:val="000000" w:themeColor="text1"/>
          <w:sz w:val="20"/>
          <w:szCs w:val="20"/>
          <w:u w:val="single"/>
          <w14:textFill>
            <w14:solidFill>
              <w14:schemeClr w14:val="tx1"/>
            </w14:solidFill>
          </w14:textFill>
        </w:rPr>
        <w:t xml:space="preserve">                    .</w:t>
      </w:r>
    </w:p>
    <w:p w14:paraId="4343DE57">
      <w:pPr>
        <w:pStyle w:val="37"/>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5D465C8D">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158C6A8A">
      <w:pPr>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14:paraId="70094071">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174" w:name="_Toc18897"/>
      <w:bookmarkEnd w:id="174"/>
      <w:bookmarkStart w:id="175" w:name="_Toc104131910"/>
      <w:bookmarkEnd w:id="175"/>
      <w:bookmarkStart w:id="176" w:name="_Toc22908"/>
      <w:bookmarkEnd w:id="176"/>
      <w:bookmarkStart w:id="177" w:name="_Toc104040704"/>
      <w:bookmarkStart w:id="178" w:name="_Toc15053"/>
      <w:r>
        <w:rPr>
          <w:rFonts w:hint="eastAsia" w:ascii="宋体" w:eastAsia="宋体"/>
          <w:color w:val="000000" w:themeColor="text1"/>
          <w:sz w:val="24"/>
          <w:szCs w:val="24"/>
          <w14:textFill>
            <w14:solidFill>
              <w14:schemeClr w14:val="tx1"/>
            </w14:solidFill>
          </w14:textFill>
        </w:rPr>
        <w:t>政策适用性说明</w:t>
      </w:r>
      <w:bookmarkEnd w:id="177"/>
      <w:bookmarkEnd w:id="178"/>
    </w:p>
    <w:p w14:paraId="1CC64750">
      <w:pPr>
        <w:rPr>
          <w:i/>
          <w:iCs/>
          <w:color w:val="000000" w:themeColor="text1"/>
          <w14:textFill>
            <w14:solidFill>
              <w14:schemeClr w14:val="tx1"/>
            </w14:solidFill>
          </w14:textFill>
        </w:rPr>
      </w:pPr>
      <w:r>
        <w:rPr>
          <w:rFonts w:hint="eastAsia"/>
          <w:i/>
          <w:iCs/>
          <w:color w:val="000000" w:themeColor="text1"/>
          <w14:textFill>
            <w14:solidFill>
              <w14:schemeClr w14:val="tx1"/>
            </w14:solidFill>
          </w14:textFill>
        </w:rPr>
        <w:t>（以下格式文件由供应商根据需要选用，如不适用可删除）</w:t>
      </w:r>
    </w:p>
    <w:p w14:paraId="37845EB5">
      <w:pPr>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政策适用性说明</w:t>
      </w:r>
    </w:p>
    <w:p w14:paraId="5FB96C2A">
      <w:pPr>
        <w:pStyle w:val="11"/>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参照政府采购有关政策的要求，在本次的技术方案中，采用符合政策的小型或微型企业产品、节能产品、环境标志产品，主要产品与核心技术介绍说明如下：</w:t>
      </w:r>
    </w:p>
    <w:tbl>
      <w:tblPr>
        <w:tblStyle w:val="29"/>
        <w:tblW w:w="5000" w:type="pct"/>
        <w:tblInd w:w="108" w:type="dxa"/>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758"/>
        <w:gridCol w:w="1800"/>
        <w:gridCol w:w="1234"/>
        <w:gridCol w:w="1234"/>
        <w:gridCol w:w="1234"/>
        <w:gridCol w:w="1234"/>
        <w:gridCol w:w="1234"/>
        <w:gridCol w:w="1234"/>
      </w:tblGrid>
      <w:tr w14:paraId="5891FDD1">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l2br w:val="nil"/>
              <w:tr2bl w:val="nil"/>
            </w:tcBorders>
            <w:vAlign w:val="center"/>
          </w:tcPr>
          <w:p w14:paraId="6F38FE09">
            <w:pPr>
              <w:pStyle w:val="11"/>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序号</w:t>
            </w:r>
          </w:p>
        </w:tc>
        <w:tc>
          <w:tcPr>
            <w:tcW w:w="903" w:type="pct"/>
            <w:tcBorders>
              <w:top w:val="single" w:color="auto" w:sz="4" w:space="0"/>
              <w:left w:val="single" w:color="auto" w:sz="4" w:space="0"/>
              <w:bottom w:val="single" w:color="auto" w:sz="4" w:space="0"/>
              <w:right w:val="single" w:color="auto" w:sz="4" w:space="0"/>
              <w:tl2br w:val="nil"/>
              <w:tr2bl w:val="nil"/>
            </w:tcBorders>
            <w:vAlign w:val="center"/>
          </w:tcPr>
          <w:p w14:paraId="046F91F6">
            <w:pPr>
              <w:pStyle w:val="11"/>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主要产品/技术名称（规格型号、注册商标）</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384AC203">
            <w:pPr>
              <w:pStyle w:val="11"/>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制造商(开发商)</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7EDC44DB">
            <w:pPr>
              <w:pStyle w:val="11"/>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制造商企业类型</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59460870">
            <w:pPr>
              <w:pStyle w:val="11"/>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节能产品</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5CCAE3E0">
            <w:pPr>
              <w:pStyle w:val="11"/>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环境标志产品</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3B0037D4">
            <w:pPr>
              <w:pStyle w:val="11"/>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认证证书编号</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221B9399">
            <w:pPr>
              <w:pStyle w:val="11"/>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该产品报价在总报价中占比（%）</w:t>
            </w:r>
          </w:p>
        </w:tc>
      </w:tr>
      <w:tr w14:paraId="32395E3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l2br w:val="nil"/>
              <w:tr2bl w:val="nil"/>
            </w:tcBorders>
            <w:vAlign w:val="center"/>
          </w:tcPr>
          <w:p w14:paraId="2229DFAF">
            <w:pPr>
              <w:pStyle w:val="11"/>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w:t>
            </w:r>
          </w:p>
        </w:tc>
        <w:tc>
          <w:tcPr>
            <w:tcW w:w="903" w:type="pct"/>
            <w:tcBorders>
              <w:top w:val="single" w:color="auto" w:sz="4" w:space="0"/>
              <w:left w:val="single" w:color="auto" w:sz="4" w:space="0"/>
              <w:bottom w:val="single" w:color="auto" w:sz="4" w:space="0"/>
              <w:right w:val="single" w:color="auto" w:sz="4" w:space="0"/>
              <w:tl2br w:val="nil"/>
              <w:tr2bl w:val="nil"/>
            </w:tcBorders>
            <w:vAlign w:val="center"/>
          </w:tcPr>
          <w:p w14:paraId="356084A4">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468A74C9">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34D69138">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2DCC7DA1">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1C0E80EC">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3C6D137E">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091DDA70">
            <w:pPr>
              <w:pStyle w:val="11"/>
              <w:spacing w:before="156" w:beforeLines="50" w:after="156" w:afterLines="50"/>
              <w:jc w:val="center"/>
              <w:rPr>
                <w:color w:val="000000" w:themeColor="text1"/>
                <w:sz w:val="20"/>
                <w:szCs w:val="20"/>
                <w14:textFill>
                  <w14:solidFill>
                    <w14:schemeClr w14:val="tx1"/>
                  </w14:solidFill>
                </w14:textFill>
              </w:rPr>
            </w:pPr>
          </w:p>
        </w:tc>
      </w:tr>
      <w:tr w14:paraId="7A8AC37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l2br w:val="nil"/>
              <w:tr2bl w:val="nil"/>
            </w:tcBorders>
            <w:vAlign w:val="center"/>
          </w:tcPr>
          <w:p w14:paraId="7A398B1A">
            <w:pPr>
              <w:pStyle w:val="11"/>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w:t>
            </w:r>
          </w:p>
        </w:tc>
        <w:tc>
          <w:tcPr>
            <w:tcW w:w="903" w:type="pct"/>
            <w:tcBorders>
              <w:top w:val="single" w:color="auto" w:sz="4" w:space="0"/>
              <w:left w:val="single" w:color="auto" w:sz="4" w:space="0"/>
              <w:bottom w:val="single" w:color="auto" w:sz="4" w:space="0"/>
              <w:right w:val="single" w:color="auto" w:sz="4" w:space="0"/>
              <w:tl2br w:val="nil"/>
              <w:tr2bl w:val="nil"/>
            </w:tcBorders>
            <w:vAlign w:val="center"/>
          </w:tcPr>
          <w:p w14:paraId="05A1D06B">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12ACAF82">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74A0065C">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2BE3FACE">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2F6E30BC">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40071B33">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7CFE18C9">
            <w:pPr>
              <w:pStyle w:val="11"/>
              <w:spacing w:before="156" w:beforeLines="50" w:after="156" w:afterLines="50"/>
              <w:jc w:val="center"/>
              <w:rPr>
                <w:color w:val="000000" w:themeColor="text1"/>
                <w:sz w:val="20"/>
                <w:szCs w:val="20"/>
                <w14:textFill>
                  <w14:solidFill>
                    <w14:schemeClr w14:val="tx1"/>
                  </w14:solidFill>
                </w14:textFill>
              </w:rPr>
            </w:pPr>
          </w:p>
        </w:tc>
      </w:tr>
      <w:tr w14:paraId="74668F1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l2br w:val="nil"/>
              <w:tr2bl w:val="nil"/>
            </w:tcBorders>
            <w:vAlign w:val="center"/>
          </w:tcPr>
          <w:p w14:paraId="216DC465">
            <w:pPr>
              <w:pStyle w:val="11"/>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3</w:t>
            </w:r>
          </w:p>
        </w:tc>
        <w:tc>
          <w:tcPr>
            <w:tcW w:w="903" w:type="pct"/>
            <w:tcBorders>
              <w:top w:val="single" w:color="auto" w:sz="4" w:space="0"/>
              <w:left w:val="single" w:color="auto" w:sz="4" w:space="0"/>
              <w:bottom w:val="single" w:color="auto" w:sz="4" w:space="0"/>
              <w:right w:val="single" w:color="auto" w:sz="4" w:space="0"/>
              <w:tl2br w:val="nil"/>
              <w:tr2bl w:val="nil"/>
            </w:tcBorders>
            <w:vAlign w:val="center"/>
          </w:tcPr>
          <w:p w14:paraId="644C4534">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6CB83E8B">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4DE96C45">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1EAB69BB">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4FDC16D9">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359492B1">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11BB29D6">
            <w:pPr>
              <w:pStyle w:val="11"/>
              <w:spacing w:before="156" w:beforeLines="50" w:after="156" w:afterLines="50"/>
              <w:jc w:val="center"/>
              <w:rPr>
                <w:color w:val="000000" w:themeColor="text1"/>
                <w:sz w:val="20"/>
                <w:szCs w:val="20"/>
                <w14:textFill>
                  <w14:solidFill>
                    <w14:schemeClr w14:val="tx1"/>
                  </w14:solidFill>
                </w14:textFill>
              </w:rPr>
            </w:pPr>
          </w:p>
        </w:tc>
      </w:tr>
      <w:tr w14:paraId="20EDF0F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l2br w:val="nil"/>
              <w:tr2bl w:val="nil"/>
            </w:tcBorders>
            <w:vAlign w:val="center"/>
          </w:tcPr>
          <w:p w14:paraId="54603E84">
            <w:pPr>
              <w:pStyle w:val="11"/>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p>
        </w:tc>
        <w:tc>
          <w:tcPr>
            <w:tcW w:w="903" w:type="pct"/>
            <w:tcBorders>
              <w:top w:val="single" w:color="auto" w:sz="4" w:space="0"/>
              <w:left w:val="single" w:color="auto" w:sz="4" w:space="0"/>
              <w:bottom w:val="single" w:color="auto" w:sz="4" w:space="0"/>
              <w:right w:val="single" w:color="auto" w:sz="4" w:space="0"/>
              <w:tl2br w:val="nil"/>
              <w:tr2bl w:val="nil"/>
            </w:tcBorders>
            <w:vAlign w:val="center"/>
          </w:tcPr>
          <w:p w14:paraId="52C387E6">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7E8928B3">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004BCD74">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698698BA">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16093C99">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42B1C2B4">
            <w:pPr>
              <w:pStyle w:val="11"/>
              <w:spacing w:before="156" w:beforeLines="50" w:after="156" w:afterLines="50"/>
              <w:jc w:val="center"/>
              <w:rPr>
                <w:color w:val="000000" w:themeColor="text1"/>
                <w:sz w:val="20"/>
                <w:szCs w:val="20"/>
                <w14:textFill>
                  <w14:solidFill>
                    <w14:schemeClr w14:val="tx1"/>
                  </w14:solidFill>
                </w14:textFill>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504E0575">
            <w:pPr>
              <w:pStyle w:val="11"/>
              <w:spacing w:before="156" w:beforeLines="50" w:after="156" w:afterLines="50"/>
              <w:jc w:val="center"/>
              <w:rPr>
                <w:color w:val="000000" w:themeColor="text1"/>
                <w:sz w:val="20"/>
                <w:szCs w:val="20"/>
                <w14:textFill>
                  <w14:solidFill>
                    <w14:schemeClr w14:val="tx1"/>
                  </w14:solidFill>
                </w14:textFill>
              </w:rPr>
            </w:pPr>
          </w:p>
        </w:tc>
      </w:tr>
    </w:tbl>
    <w:p w14:paraId="0E266687">
      <w:pPr>
        <w:pStyle w:val="11"/>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注：</w:t>
      </w:r>
    </w:p>
    <w:p w14:paraId="0C950032">
      <w:pPr>
        <w:pStyle w:val="11"/>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w:t>
      </w:r>
      <w:r>
        <w:rPr>
          <w:rFonts w:hint="eastAsia"/>
          <w:color w:val="000000" w:themeColor="text1"/>
          <w:sz w:val="20"/>
          <w:szCs w:val="20"/>
          <w14:textFill>
            <w14:solidFill>
              <w14:schemeClr w14:val="tx1"/>
            </w14:solidFill>
          </w14:textFill>
        </w:rPr>
        <w:tab/>
      </w:r>
      <w:r>
        <w:rPr>
          <w:rFonts w:hint="eastAsia"/>
          <w:color w:val="000000" w:themeColor="text1"/>
          <w:sz w:val="20"/>
          <w:szCs w:val="20"/>
          <w14:textFill>
            <w14:solidFill>
              <w14:schemeClr w14:val="tx1"/>
            </w14:solidFill>
          </w14:textFill>
        </w:rPr>
        <w:t>制造商为小型或微型企业时才需要填“制造商企业类型”栏,填写内容为“小型”或“微型”；</w:t>
      </w:r>
    </w:p>
    <w:p w14:paraId="480FEDA1">
      <w:pPr>
        <w:pStyle w:val="11"/>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w:t>
      </w:r>
      <w:r>
        <w:rPr>
          <w:rFonts w:hint="eastAsia"/>
          <w:color w:val="000000" w:themeColor="text1"/>
          <w:sz w:val="20"/>
          <w:szCs w:val="20"/>
          <w14:textFill>
            <w14:solidFill>
              <w14:schemeClr w14:val="tx1"/>
            </w14:solidFill>
          </w14:textFill>
        </w:rPr>
        <w:tab/>
      </w:r>
      <w:r>
        <w:rPr>
          <w:rFonts w:hint="eastAsia"/>
          <w:color w:val="000000" w:themeColor="text1"/>
          <w:sz w:val="20"/>
          <w:szCs w:val="20"/>
          <w14:textFill>
            <w14:solidFill>
              <w14:schemeClr w14:val="tx1"/>
            </w14:solidFill>
          </w14:textFill>
        </w:rPr>
        <w:t>“节能产品、环境标志产品”须填写认证证书编号，并在对应“节能产品”、“环境标志产品”栏中勾选，同时提供有效期内的证书复印件（加盖供应商公章）</w:t>
      </w:r>
    </w:p>
    <w:p w14:paraId="73251293">
      <w:pPr>
        <w:pStyle w:val="11"/>
        <w:ind w:firstLine="400" w:firstLineChars="200"/>
        <w:rPr>
          <w:color w:val="000000" w:themeColor="text1"/>
          <w:sz w:val="20"/>
          <w:szCs w:val="20"/>
          <w14:textFill>
            <w14:solidFill>
              <w14:schemeClr w14:val="tx1"/>
            </w14:solidFill>
          </w14:textFill>
        </w:rPr>
      </w:pPr>
    </w:p>
    <w:p w14:paraId="4ACCF1B9">
      <w:pPr>
        <w:pStyle w:val="37"/>
        <w:autoSpaceDN/>
        <w:spacing w:line="480" w:lineRule="auto"/>
        <w:ind w:firstLine="0" w:firstLineChars="0"/>
        <w:jc w:val="right"/>
        <w:rPr>
          <w:color w:val="000000" w:themeColor="text1"/>
          <w:sz w:val="20"/>
          <w:szCs w:val="20"/>
          <w14:textFill>
            <w14:solidFill>
              <w14:schemeClr w14:val="tx1"/>
            </w14:solidFill>
          </w14:textFill>
        </w:rPr>
      </w:pPr>
      <w:bookmarkStart w:id="179" w:name="_Hlk112010292"/>
      <w:bookmarkEnd w:id="179"/>
      <w:r>
        <w:rPr>
          <w:rFonts w:hint="eastAsia"/>
          <w:color w:val="000000" w:themeColor="text1"/>
          <w:kern w:val="0"/>
          <w:sz w:val="20"/>
          <w:szCs w:val="20"/>
          <w14:textFill>
            <w14:solidFill>
              <w14:schemeClr w14:val="tx1"/>
            </w14:solidFill>
          </w14:textFill>
        </w:rPr>
        <w:t>供应商</w:t>
      </w:r>
      <w:r>
        <w:rPr>
          <w:rFonts w:hint="eastAsia"/>
          <w:color w:val="000000" w:themeColor="text1"/>
          <w:sz w:val="20"/>
          <w:szCs w:val="20"/>
          <w14:textFill>
            <w14:solidFill>
              <w14:schemeClr w14:val="tx1"/>
            </w14:solidFill>
          </w14:textFill>
        </w:rPr>
        <w:t>法定代表人或其授权委托人（签字或盖章）：</w:t>
      </w:r>
      <w:r>
        <w:rPr>
          <w:rFonts w:hint="eastAsia"/>
          <w:color w:val="000000" w:themeColor="text1"/>
          <w:sz w:val="20"/>
          <w:szCs w:val="20"/>
          <w:u w:val="single"/>
          <w14:textFill>
            <w14:solidFill>
              <w14:schemeClr w14:val="tx1"/>
            </w14:solidFill>
          </w14:textFill>
        </w:rPr>
        <w:t xml:space="preserve">                    .</w:t>
      </w:r>
    </w:p>
    <w:p w14:paraId="61B1DF84">
      <w:pPr>
        <w:pStyle w:val="37"/>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18D45077">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3BAF5720">
      <w:pPr>
        <w:pStyle w:val="11"/>
        <w:rPr>
          <w:color w:val="000000" w:themeColor="text1"/>
          <w:sz w:val="20"/>
          <w:szCs w:val="20"/>
          <w14:textFill>
            <w14:solidFill>
              <w14:schemeClr w14:val="tx1"/>
            </w14:solidFill>
          </w14:textFill>
        </w:rPr>
      </w:pPr>
    </w:p>
    <w:p w14:paraId="59F7C5AE">
      <w:pPr>
        <w:pStyle w:val="11"/>
        <w:rPr>
          <w:color w:val="000000" w:themeColor="text1"/>
          <w14:textFill>
            <w14:solidFill>
              <w14:schemeClr w14:val="tx1"/>
            </w14:solidFill>
          </w14:textFill>
        </w:rPr>
      </w:pPr>
    </w:p>
    <w:p w14:paraId="4ABC5298">
      <w:pPr>
        <w:rPr>
          <w:b/>
          <w:bCs/>
          <w:color w:val="000000" w:themeColor="text1"/>
          <w:sz w:val="24"/>
          <w14:textFill>
            <w14:solidFill>
              <w14:schemeClr w14:val="tx1"/>
            </w14:solidFill>
          </w14:textFill>
        </w:rPr>
      </w:pPr>
      <w:bookmarkStart w:id="180" w:name="_Toc103033236"/>
      <w:bookmarkEnd w:id="180"/>
      <w:r>
        <w:rPr>
          <w:rFonts w:hint="eastAsia"/>
          <w:color w:val="000000" w:themeColor="text1"/>
          <w:sz w:val="24"/>
          <w14:textFill>
            <w14:solidFill>
              <w14:schemeClr w14:val="tx1"/>
            </w14:solidFill>
          </w14:textFill>
        </w:rPr>
        <w:br w:type="page"/>
      </w:r>
    </w:p>
    <w:p w14:paraId="0B53217F">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181" w:name="_Toc22086"/>
      <w:bookmarkEnd w:id="181"/>
      <w:bookmarkStart w:id="182" w:name="_Toc104040705"/>
      <w:bookmarkStart w:id="183" w:name="_Toc4949"/>
      <w:r>
        <w:rPr>
          <w:rFonts w:hint="eastAsia" w:ascii="宋体" w:eastAsia="宋体"/>
          <w:color w:val="000000" w:themeColor="text1"/>
          <w:sz w:val="24"/>
          <w:szCs w:val="24"/>
          <w14:textFill>
            <w14:solidFill>
              <w14:schemeClr w14:val="tx1"/>
            </w14:solidFill>
          </w14:textFill>
        </w:rPr>
        <w:t>法定代表人证明书</w:t>
      </w:r>
      <w:bookmarkEnd w:id="182"/>
      <w:bookmarkEnd w:id="183"/>
    </w:p>
    <w:p w14:paraId="7C60D28E">
      <w:pPr>
        <w:pStyle w:val="43"/>
        <w:autoSpaceDN/>
        <w:jc w:val="left"/>
        <w:rPr>
          <w:b w:val="0"/>
          <w:bCs w:val="0"/>
          <w:i/>
          <w:iCs/>
          <w:color w:val="000000" w:themeColor="text1"/>
          <w:sz w:val="21"/>
          <w:szCs w:val="21"/>
          <w14:textFill>
            <w14:solidFill>
              <w14:schemeClr w14:val="tx1"/>
            </w14:solidFill>
          </w14:textFill>
        </w:rPr>
      </w:pPr>
      <w:r>
        <w:rPr>
          <w:rFonts w:hint="eastAsia"/>
          <w:b w:val="0"/>
          <w:bCs w:val="0"/>
          <w:i/>
          <w:iCs/>
          <w:color w:val="000000" w:themeColor="text1"/>
          <w:sz w:val="21"/>
          <w:szCs w:val="21"/>
          <w14:textFill>
            <w14:solidFill>
              <w14:schemeClr w14:val="tx1"/>
            </w14:solidFill>
          </w14:textFill>
        </w:rPr>
        <w:t>（供应商可使用下述格式，也可使用广东省工商行政管理局统一印制的法定代表人证明书格式）</w:t>
      </w:r>
    </w:p>
    <w:p w14:paraId="40DDDB0D">
      <w:pPr>
        <w:pStyle w:val="43"/>
        <w:autoSpaceDN/>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法定代表人证明书</w:t>
      </w:r>
    </w:p>
    <w:p w14:paraId="0A6B96C8">
      <w:pPr>
        <w:pStyle w:val="37"/>
        <w:autoSpaceDN/>
        <w:ind w:firstLine="0" w:firstLineChars="0"/>
        <w:rPr>
          <w:color w:val="000000" w:themeColor="text1"/>
          <w:sz w:val="20"/>
          <w:szCs w:val="20"/>
          <w14:textFill>
            <w14:solidFill>
              <w14:schemeClr w14:val="tx1"/>
            </w14:solidFill>
          </w14:textFill>
        </w:rPr>
      </w:pPr>
    </w:p>
    <w:p w14:paraId="5072D4FB">
      <w:pPr>
        <w:pStyle w:val="11"/>
        <w:tabs>
          <w:tab w:val="left" w:pos="1500"/>
          <w:tab w:val="left" w:pos="3223"/>
          <w:tab w:val="left" w:pos="3947"/>
          <w:tab w:val="left" w:pos="7064"/>
        </w:tabs>
        <w:ind w:firstLine="400" w:firstLineChars="200"/>
        <w:rPr>
          <w:color w:val="000000" w:themeColor="text1"/>
          <w:sz w:val="20"/>
          <w:szCs w:val="20"/>
          <w14:textFill>
            <w14:solidFill>
              <w14:schemeClr w14:val="tx1"/>
            </w14:solidFill>
          </w14:textFill>
        </w:rPr>
      </w:pP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现任我单位</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职务，为法定代表人，特此证明。</w:t>
      </w:r>
    </w:p>
    <w:p w14:paraId="2FA0EEDE">
      <w:pPr>
        <w:pStyle w:val="11"/>
        <w:tabs>
          <w:tab w:val="left" w:pos="1020"/>
          <w:tab w:val="left" w:pos="3223"/>
          <w:tab w:val="left" w:pos="3947"/>
          <w:tab w:val="left" w:pos="7064"/>
        </w:tabs>
        <w:ind w:firstLine="400" w:firstLineChars="200"/>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有效期限：</w:t>
      </w:r>
      <w:bookmarkStart w:id="184" w:name="_Hlk102939377"/>
      <w:bookmarkEnd w:id="184"/>
      <w:r>
        <w:rPr>
          <w:rFonts w:hint="eastAsia"/>
          <w:color w:val="000000" w:themeColor="text1"/>
          <w:sz w:val="20"/>
          <w:szCs w:val="20"/>
          <w:u w:val="single"/>
          <w14:textFill>
            <w14:solidFill>
              <w14:schemeClr w14:val="tx1"/>
            </w14:solidFill>
          </w14:textFill>
        </w:rPr>
        <w:t>与响应有效期一致。</w:t>
      </w:r>
    </w:p>
    <w:p w14:paraId="137147F1">
      <w:pPr>
        <w:pStyle w:val="11"/>
        <w:tabs>
          <w:tab w:val="left" w:pos="1020"/>
          <w:tab w:val="left" w:pos="3223"/>
          <w:tab w:val="left" w:pos="3947"/>
          <w:tab w:val="left" w:pos="8505"/>
        </w:tabs>
        <w:ind w:firstLine="400" w:firstLineChars="200"/>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法定代表人性别：</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年龄：</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身份证号码：</w:t>
      </w:r>
      <w:r>
        <w:rPr>
          <w:rFonts w:hint="eastAsia"/>
          <w:color w:val="000000" w:themeColor="text1"/>
          <w:sz w:val="20"/>
          <w:szCs w:val="20"/>
          <w:u w:val="single"/>
          <w14:textFill>
            <w14:solidFill>
              <w14:schemeClr w14:val="tx1"/>
            </w14:solidFill>
          </w14:textFill>
        </w:rPr>
        <w:t xml:space="preserve">            .</w:t>
      </w:r>
    </w:p>
    <w:p w14:paraId="37892E73">
      <w:pPr>
        <w:pStyle w:val="11"/>
        <w:tabs>
          <w:tab w:val="left" w:pos="1020"/>
          <w:tab w:val="left" w:pos="3223"/>
          <w:tab w:val="left" w:pos="3947"/>
          <w:tab w:val="left" w:pos="7064"/>
        </w:tabs>
        <w:ind w:firstLine="400" w:firstLineChars="200"/>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注册号码：</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企业类型：</w:t>
      </w:r>
      <w:r>
        <w:rPr>
          <w:rFonts w:hint="eastAsia"/>
          <w:color w:val="000000" w:themeColor="text1"/>
          <w:sz w:val="20"/>
          <w:szCs w:val="20"/>
          <w:u w:val="single"/>
          <w14:textFill>
            <w14:solidFill>
              <w14:schemeClr w14:val="tx1"/>
            </w14:solidFill>
          </w14:textFill>
        </w:rPr>
        <w:t xml:space="preserve">              .</w:t>
      </w:r>
    </w:p>
    <w:p w14:paraId="1EB9E552">
      <w:pPr>
        <w:pStyle w:val="11"/>
        <w:tabs>
          <w:tab w:val="left" w:pos="1020"/>
          <w:tab w:val="left" w:pos="3223"/>
          <w:tab w:val="left" w:pos="3947"/>
          <w:tab w:val="left" w:pos="7064"/>
        </w:tabs>
        <w:ind w:firstLine="400" w:firstLineChars="200"/>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经营范围：</w:t>
      </w:r>
      <w:r>
        <w:rPr>
          <w:rFonts w:hint="eastAsia"/>
          <w:color w:val="000000" w:themeColor="text1"/>
          <w:sz w:val="20"/>
          <w:szCs w:val="20"/>
          <w:u w:val="single"/>
          <w14:textFill>
            <w14:solidFill>
              <w14:schemeClr w14:val="tx1"/>
            </w14:solidFill>
          </w14:textFill>
        </w:rPr>
        <w:t xml:space="preserve">           .</w:t>
      </w:r>
    </w:p>
    <w:p w14:paraId="6D5A2FF3">
      <w:pPr>
        <w:pStyle w:val="11"/>
        <w:tabs>
          <w:tab w:val="left" w:pos="1020"/>
          <w:tab w:val="left" w:pos="3223"/>
          <w:tab w:val="left" w:pos="3947"/>
          <w:tab w:val="left" w:pos="7064"/>
        </w:tabs>
        <w:ind w:right="-35"/>
        <w:rPr>
          <w:color w:val="000000" w:themeColor="text1"/>
          <w:sz w:val="20"/>
          <w:szCs w:val="20"/>
          <w14:textFill>
            <w14:solidFill>
              <w14:schemeClr w14:val="tx1"/>
            </w14:solidFill>
          </w14:textFill>
        </w:rPr>
      </w:pPr>
    </w:p>
    <w:p w14:paraId="4B0512C8">
      <w:pPr>
        <w:pStyle w:val="11"/>
        <w:tabs>
          <w:tab w:val="left" w:pos="10713"/>
        </w:tabs>
        <w:ind w:left="3223" w:leftChars="1535"/>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19E93789">
      <w:pPr>
        <w:pStyle w:val="11"/>
        <w:tabs>
          <w:tab w:val="left" w:pos="10713"/>
        </w:tabs>
        <w:jc w:val="right"/>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地址：</w:t>
      </w:r>
      <w:r>
        <w:rPr>
          <w:rFonts w:hint="eastAsia"/>
          <w:color w:val="000000" w:themeColor="text1"/>
          <w:sz w:val="20"/>
          <w:szCs w:val="20"/>
          <w:u w:val="single"/>
          <w14:textFill>
            <w14:solidFill>
              <w14:schemeClr w14:val="tx1"/>
            </w14:solidFill>
          </w14:textFill>
        </w:rPr>
        <w:t xml:space="preserve">               .</w:t>
      </w:r>
    </w:p>
    <w:p w14:paraId="077BE1BC">
      <w:pPr>
        <w:pStyle w:val="11"/>
        <w:tabs>
          <w:tab w:val="left" w:pos="10713"/>
        </w:tabs>
        <w:jc w:val="right"/>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法定代表人（签字或盖章）：</w:t>
      </w:r>
      <w:r>
        <w:rPr>
          <w:rFonts w:hint="eastAsia"/>
          <w:color w:val="000000" w:themeColor="text1"/>
          <w:sz w:val="20"/>
          <w:szCs w:val="20"/>
          <w:u w:val="single"/>
          <w14:textFill>
            <w14:solidFill>
              <w14:schemeClr w14:val="tx1"/>
            </w14:solidFill>
          </w14:textFill>
        </w:rPr>
        <w:t xml:space="preserve">               .</w:t>
      </w:r>
    </w:p>
    <w:p w14:paraId="73FCEC29">
      <w:pPr>
        <w:pStyle w:val="11"/>
        <w:ind w:left="3223" w:leftChars="1535"/>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职务：</w:t>
      </w:r>
      <w:r>
        <w:rPr>
          <w:rFonts w:hint="eastAsia"/>
          <w:color w:val="000000" w:themeColor="text1"/>
          <w:sz w:val="20"/>
          <w:szCs w:val="20"/>
          <w:u w:val="single"/>
          <w14:textFill>
            <w14:solidFill>
              <w14:schemeClr w14:val="tx1"/>
            </w14:solidFill>
          </w14:textFill>
        </w:rPr>
        <w:t xml:space="preserve">               . </w:t>
      </w:r>
    </w:p>
    <w:p w14:paraId="599E9A54">
      <w:pPr>
        <w:pStyle w:val="11"/>
        <w:ind w:right="-52"/>
        <w:jc w:val="right"/>
        <w:rPr>
          <w:b/>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bookmarkStart w:id="185" w:name="_Hlk112010324"/>
      <w:bookmarkEnd w:id="185"/>
    </w:p>
    <w:tbl>
      <w:tblPr>
        <w:tblStyle w:val="29"/>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9962"/>
      </w:tblGrid>
      <w:tr w14:paraId="05B09C5F">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2648" w:hRule="atLeast"/>
          <w:jc w:val="center"/>
        </w:trPr>
        <w:tc>
          <w:tcPr>
            <w:tcW w:w="5000" w:type="pct"/>
            <w:tcBorders>
              <w:top w:val="single" w:color="auto" w:sz="4" w:space="0"/>
              <w:left w:val="single" w:color="auto" w:sz="4" w:space="0"/>
              <w:bottom w:val="single" w:color="auto" w:sz="4" w:space="0"/>
              <w:right w:val="single" w:color="auto" w:sz="4" w:space="0"/>
              <w:tl2br w:val="nil"/>
              <w:tr2bl w:val="nil"/>
            </w:tcBorders>
            <w:vAlign w:val="center"/>
          </w:tcPr>
          <w:p w14:paraId="08FDB320">
            <w:pPr>
              <w:jc w:val="center"/>
              <w:rPr>
                <w:color w:val="000000" w:themeColor="text1"/>
                <w:sz w:val="20"/>
                <w:szCs w:val="20"/>
                <w14:textFill>
                  <w14:solidFill>
                    <w14:schemeClr w14:val="tx1"/>
                  </w14:solidFill>
                </w14:textFill>
              </w:rPr>
            </w:pPr>
            <w:bookmarkStart w:id="186" w:name="_Hlk112010312"/>
            <w:r>
              <w:rPr>
                <w:rFonts w:hint="eastAsia"/>
                <w:color w:val="000000" w:themeColor="text1"/>
                <w:sz w:val="20"/>
                <w:szCs w:val="20"/>
                <w14:textFill>
                  <w14:solidFill>
                    <w14:schemeClr w14:val="tx1"/>
                  </w14:solidFill>
                </w14:textFill>
              </w:rPr>
              <w:t>法定代表人身份证复印件</w:t>
            </w:r>
            <w:bookmarkEnd w:id="186"/>
          </w:p>
          <w:p w14:paraId="5FEB0A08">
            <w:pPr>
              <w:jc w:val="center"/>
              <w:rPr>
                <w:b/>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（正、反两面）</w:t>
            </w:r>
          </w:p>
        </w:tc>
      </w:tr>
    </w:tbl>
    <w:p w14:paraId="09562811">
      <w:pPr>
        <w:rPr>
          <w:b/>
          <w:color w:val="000000" w:themeColor="text1"/>
          <w:sz w:val="20"/>
          <w:szCs w:val="20"/>
          <w14:textFill>
            <w14:solidFill>
              <w14:schemeClr w14:val="tx1"/>
            </w14:solidFill>
          </w14:textFill>
        </w:rPr>
      </w:pPr>
    </w:p>
    <w:p w14:paraId="523C2B4F">
      <w:pPr>
        <w:pStyle w:val="11"/>
        <w:rPr>
          <w:color w:val="000000" w:themeColor="text1"/>
          <w:sz w:val="20"/>
          <w:szCs w:val="20"/>
          <w14:textFill>
            <w14:solidFill>
              <w14:schemeClr w14:val="tx1"/>
            </w14:solidFill>
          </w14:textFill>
        </w:rPr>
      </w:pPr>
      <w:r>
        <w:rPr>
          <w:rFonts w:hint="eastAsia"/>
          <w:b/>
          <w:color w:val="000000" w:themeColor="text1"/>
          <w:sz w:val="20"/>
          <w:szCs w:val="20"/>
          <w14:textFill>
            <w14:solidFill>
              <w14:schemeClr w14:val="tx1"/>
            </w14:solidFill>
          </w14:textFill>
        </w:rPr>
        <w:t>说明：供应商应须提供法定代表人身份证复印件，否则作无效响应处理。</w:t>
      </w:r>
    </w:p>
    <w:p w14:paraId="3419DF89">
      <w:pPr>
        <w:pStyle w:val="3"/>
        <w:keepLines w:val="0"/>
        <w:spacing w:before="120" w:after="120"/>
        <w:rPr>
          <w:rFonts w:hint="eastAsia" w:ascii="宋体" w:eastAsia="宋体"/>
          <w:color w:val="000000" w:themeColor="text1"/>
          <w:sz w:val="20"/>
          <w:szCs w:val="20"/>
          <w14:textFill>
            <w14:solidFill>
              <w14:schemeClr w14:val="tx1"/>
            </w14:solidFill>
          </w14:textFill>
        </w:rPr>
        <w:sectPr>
          <w:pgSz w:w="11906" w:h="16838"/>
          <w:pgMar w:top="1440" w:right="1080" w:bottom="1440" w:left="1080" w:header="426" w:footer="992" w:gutter="0"/>
          <w:cols w:space="720" w:num="1"/>
          <w:titlePg/>
          <w:docGrid w:type="lines" w:linePitch="312" w:charSpace="0"/>
        </w:sectPr>
      </w:pPr>
      <w:bookmarkStart w:id="187" w:name="_Toc104040706"/>
      <w:bookmarkEnd w:id="187"/>
      <w:bookmarkStart w:id="188" w:name="_Toc103033237"/>
      <w:bookmarkEnd w:id="188"/>
      <w:bookmarkStart w:id="189" w:name="_Toc9399"/>
    </w:p>
    <w:p w14:paraId="6A2B2085">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190" w:name="_Toc21813"/>
      <w:r>
        <w:rPr>
          <w:rFonts w:hint="eastAsia" w:ascii="宋体" w:eastAsia="宋体"/>
          <w:color w:val="000000" w:themeColor="text1"/>
          <w:sz w:val="24"/>
          <w:szCs w:val="24"/>
          <w14:textFill>
            <w14:solidFill>
              <w14:schemeClr w14:val="tx1"/>
            </w14:solidFill>
          </w14:textFill>
        </w:rPr>
        <w:t>法定代表人授权书</w:t>
      </w:r>
      <w:bookmarkEnd w:id="189"/>
      <w:bookmarkEnd w:id="190"/>
    </w:p>
    <w:p w14:paraId="7F788B53">
      <w:pPr>
        <w:pStyle w:val="43"/>
        <w:autoSpaceDN/>
        <w:jc w:val="left"/>
        <w:rPr>
          <w:b w:val="0"/>
          <w:bCs w:val="0"/>
          <w:i/>
          <w:iCs/>
          <w:color w:val="000000" w:themeColor="text1"/>
          <w:sz w:val="21"/>
          <w:szCs w:val="21"/>
          <w14:textFill>
            <w14:solidFill>
              <w14:schemeClr w14:val="tx1"/>
            </w14:solidFill>
          </w14:textFill>
        </w:rPr>
      </w:pPr>
      <w:r>
        <w:rPr>
          <w:rFonts w:hint="eastAsia"/>
          <w:b w:val="0"/>
          <w:bCs w:val="0"/>
          <w:i/>
          <w:iCs/>
          <w:color w:val="000000" w:themeColor="text1"/>
          <w:sz w:val="21"/>
          <w:szCs w:val="21"/>
          <w14:textFill>
            <w14:solidFill>
              <w14:schemeClr w14:val="tx1"/>
            </w14:solidFill>
          </w14:textFill>
        </w:rPr>
        <w:t>（对于银行、保险、电信、邮政、铁路等行业以及获得总公司响应授权的分公司，可以提供响应分支机构负责人授权书）</w:t>
      </w:r>
    </w:p>
    <w:p w14:paraId="3F9913D0">
      <w:pPr>
        <w:spacing w:line="480" w:lineRule="exact"/>
        <w:jc w:val="center"/>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法定代表人授权书</w:t>
      </w:r>
    </w:p>
    <w:p w14:paraId="3F0788FE">
      <w:pPr>
        <w:rPr>
          <w:color w:val="000000" w:themeColor="text1"/>
          <w:sz w:val="18"/>
          <w:szCs w:val="18"/>
          <w14:textFill>
            <w14:solidFill>
              <w14:schemeClr w14:val="tx1"/>
            </w14:solidFill>
          </w14:textFill>
        </w:rPr>
      </w:pPr>
    </w:p>
    <w:p w14:paraId="26B5F7B3">
      <w:pPr>
        <w:pStyle w:val="11"/>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致：公诚管理咨询有限公司</w:t>
      </w:r>
    </w:p>
    <w:p w14:paraId="491B5483">
      <w:pPr>
        <w:pStyle w:val="11"/>
        <w:tabs>
          <w:tab w:val="left" w:pos="2026"/>
          <w:tab w:val="left" w:pos="2300"/>
          <w:tab w:val="left" w:pos="8808"/>
        </w:tabs>
        <w:ind w:right="221" w:firstLine="384"/>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本授权书声明：</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14:textFill>
            <w14:solidFill>
              <w14:schemeClr w14:val="tx1"/>
            </w14:solidFill>
          </w14:textFill>
        </w:rPr>
        <w:t>是注册于</w:t>
      </w:r>
      <w:r>
        <w:rPr>
          <w:rFonts w:hint="eastAsia"/>
          <w:color w:val="000000" w:themeColor="text1"/>
          <w:spacing w:val="-17"/>
          <w:sz w:val="20"/>
          <w:szCs w:val="20"/>
          <w:u w:val="single"/>
          <w14:textFill>
            <w14:solidFill>
              <w14:schemeClr w14:val="tx1"/>
            </w14:solidFill>
          </w14:textFill>
        </w:rPr>
        <w:t xml:space="preserve">   </w:t>
      </w:r>
      <w:r>
        <w:rPr>
          <w:rFonts w:hint="eastAsia"/>
          <w:color w:val="000000" w:themeColor="text1"/>
          <w:sz w:val="20"/>
          <w:szCs w:val="20"/>
          <w:u w:val="single"/>
          <w14:textFill>
            <w14:solidFill>
              <w14:schemeClr w14:val="tx1"/>
            </w14:solidFill>
          </w14:textFill>
        </w:rPr>
        <w:t>（国家或地区）</w:t>
      </w:r>
      <w:r>
        <w:rPr>
          <w:rFonts w:hint="eastAsia"/>
          <w:color w:val="000000" w:themeColor="text1"/>
          <w:sz w:val="20"/>
          <w:szCs w:val="20"/>
          <w14:textFill>
            <w14:solidFill>
              <w14:schemeClr w14:val="tx1"/>
            </w14:solidFill>
          </w14:textFill>
        </w:rPr>
        <w:t>的</w:t>
      </w:r>
      <w:r>
        <w:rPr>
          <w:rFonts w:hint="eastAsia"/>
          <w:color w:val="000000" w:themeColor="text1"/>
          <w:sz w:val="20"/>
          <w:szCs w:val="20"/>
          <w:u w:val="single"/>
          <w14:textFill>
            <w14:solidFill>
              <w14:schemeClr w14:val="tx1"/>
            </w14:solidFill>
          </w14:textFill>
        </w:rPr>
        <w:t xml:space="preserve">  （供应商名称）</w:t>
      </w:r>
      <w:r>
        <w:rPr>
          <w:rFonts w:hint="eastAsia"/>
          <w:color w:val="000000" w:themeColor="text1"/>
          <w:sz w:val="20"/>
          <w:szCs w:val="20"/>
          <w14:textFill>
            <w14:solidFill>
              <w14:schemeClr w14:val="tx1"/>
            </w14:solidFill>
          </w14:textFill>
        </w:rPr>
        <w:t>的法定代表人，现任</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14:textFill>
            <w14:solidFill>
              <w14:schemeClr w14:val="tx1"/>
            </w14:solidFill>
          </w14:textFill>
        </w:rPr>
        <w:t>职务，有效证件号码：</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。现授权</w:t>
      </w:r>
      <w:r>
        <w:rPr>
          <w:rFonts w:hint="eastAsia"/>
          <w:color w:val="000000" w:themeColor="text1"/>
          <w:spacing w:val="8"/>
          <w:sz w:val="20"/>
          <w:szCs w:val="20"/>
          <w:u w:val="single"/>
          <w14:textFill>
            <w14:solidFill>
              <w14:schemeClr w14:val="tx1"/>
            </w14:solidFill>
          </w14:textFill>
        </w:rPr>
        <w:t xml:space="preserve"> </w:t>
      </w:r>
      <w:r>
        <w:rPr>
          <w:rFonts w:hint="eastAsia"/>
          <w:color w:val="000000" w:themeColor="text1"/>
          <w:sz w:val="20"/>
          <w:szCs w:val="20"/>
          <w:u w:val="single"/>
          <w14:textFill>
            <w14:solidFill>
              <w14:schemeClr w14:val="tx1"/>
            </w14:solidFill>
          </w14:textFill>
        </w:rPr>
        <w:t>（姓名、职务）</w:t>
      </w:r>
      <w:r>
        <w:rPr>
          <w:rFonts w:hint="eastAsia"/>
          <w:color w:val="000000" w:themeColor="text1"/>
          <w:sz w:val="20"/>
          <w:szCs w:val="20"/>
          <w14:textFill>
            <w14:solidFill>
              <w14:schemeClr w14:val="tx1"/>
            </w14:solidFill>
          </w14:textFill>
        </w:rPr>
        <w:t>作为我公司的全权代理人，就</w:t>
      </w:r>
      <w:r>
        <w:rPr>
          <w:rFonts w:hint="eastAsia"/>
          <w:color w:val="000000" w:themeColor="text1"/>
          <w:sz w:val="20"/>
          <w:szCs w:val="20"/>
          <w:u w:val="single"/>
          <w14:textFill>
            <w14:solidFill>
              <w14:schemeClr w14:val="tx1"/>
            </w14:solidFill>
          </w14:textFill>
        </w:rPr>
        <w:t xml:space="preserve">       （项目名称）[项目编号：         ]</w:t>
      </w:r>
      <w:r>
        <w:rPr>
          <w:rFonts w:hint="eastAsia"/>
          <w:color w:val="000000" w:themeColor="text1"/>
          <w:sz w:val="20"/>
          <w:szCs w:val="20"/>
          <w14:textFill>
            <w14:solidFill>
              <w14:schemeClr w14:val="tx1"/>
            </w14:solidFill>
          </w14:textFill>
        </w:rPr>
        <w:t>的响应和合同执行，以我方的名义处理一切与之有关的事宜。</w:t>
      </w:r>
    </w:p>
    <w:p w14:paraId="1474095F">
      <w:pPr>
        <w:pStyle w:val="11"/>
        <w:tabs>
          <w:tab w:val="left" w:pos="2026"/>
          <w:tab w:val="left" w:pos="3101"/>
          <w:tab w:val="left" w:pos="8808"/>
        </w:tabs>
        <w:ind w:right="221" w:firstLine="384"/>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本授权书于</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日签字生效，特此声明。</w:t>
      </w:r>
    </w:p>
    <w:p w14:paraId="01E46BB9">
      <w:pPr>
        <w:pStyle w:val="37"/>
        <w:autoSpaceDN/>
        <w:ind w:firstLine="0" w:firstLineChars="0"/>
        <w:rPr>
          <w:color w:val="000000" w:themeColor="text1"/>
          <w:sz w:val="20"/>
          <w:szCs w:val="20"/>
          <w14:textFill>
            <w14:solidFill>
              <w14:schemeClr w14:val="tx1"/>
            </w14:solidFill>
          </w14:textFill>
        </w:rPr>
      </w:pPr>
    </w:p>
    <w:p w14:paraId="17D455EA">
      <w:pPr>
        <w:ind w:left="3518" w:leftChars="1675"/>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 xml:space="preserve"> </w:t>
      </w:r>
    </w:p>
    <w:p w14:paraId="459C7321">
      <w:pPr>
        <w:ind w:left="3518" w:leftChars="1675"/>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地址：</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 xml:space="preserve"> </w:t>
      </w:r>
    </w:p>
    <w:p w14:paraId="7E671958">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法定代表人（签字或盖章）：</w:t>
      </w:r>
      <w:r>
        <w:rPr>
          <w:rFonts w:hint="eastAsia"/>
          <w:color w:val="000000" w:themeColor="text1"/>
          <w:sz w:val="20"/>
          <w:szCs w:val="20"/>
          <w:u w:val="single"/>
          <w14:textFill>
            <w14:solidFill>
              <w14:schemeClr w14:val="tx1"/>
            </w14:solidFill>
          </w14:textFill>
        </w:rPr>
        <w:t xml:space="preserve">                  . </w:t>
      </w:r>
    </w:p>
    <w:p w14:paraId="3DD1B205">
      <w:pPr>
        <w:ind w:left="3518" w:leftChars="1675"/>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职务：</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 xml:space="preserve"> </w:t>
      </w:r>
    </w:p>
    <w:p w14:paraId="7A75DFC6">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被授权人（签字或盖章）：</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 xml:space="preserve"> </w:t>
      </w:r>
    </w:p>
    <w:p w14:paraId="4E7D069C">
      <w:pPr>
        <w:ind w:left="3518" w:leftChars="1675"/>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职务：</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 xml:space="preserve"> </w:t>
      </w:r>
    </w:p>
    <w:p w14:paraId="71C68C20">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4E98F663">
      <w:pPr>
        <w:rPr>
          <w:b/>
          <w:color w:val="000000" w:themeColor="text1"/>
          <w:sz w:val="20"/>
          <w:szCs w:val="20"/>
          <w14:textFill>
            <w14:solidFill>
              <w14:schemeClr w14:val="tx1"/>
            </w14:solidFill>
          </w14:textFill>
        </w:rPr>
      </w:pPr>
    </w:p>
    <w:tbl>
      <w:tblPr>
        <w:tblStyle w:val="29"/>
        <w:tblW w:w="5000" w:type="pct"/>
        <w:tblInd w:w="135" w:type="dxa"/>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9962"/>
      </w:tblGrid>
      <w:tr w14:paraId="740D85A8">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2653" w:hRule="atLeast"/>
        </w:trPr>
        <w:tc>
          <w:tcPr>
            <w:tcW w:w="5000" w:type="pct"/>
            <w:tcBorders>
              <w:top w:val="single" w:color="auto" w:sz="4" w:space="0"/>
              <w:left w:val="single" w:color="auto" w:sz="4" w:space="0"/>
              <w:bottom w:val="single" w:color="auto" w:sz="4" w:space="0"/>
              <w:right w:val="single" w:color="auto" w:sz="4" w:space="0"/>
              <w:tl2br w:val="nil"/>
              <w:tr2bl w:val="nil"/>
            </w:tcBorders>
            <w:vAlign w:val="center"/>
          </w:tcPr>
          <w:p w14:paraId="7035ADE4">
            <w:pPr>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被授权人身份证复印件</w:t>
            </w:r>
          </w:p>
          <w:p w14:paraId="32D0C14B">
            <w:pPr>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（正、反两面）</w:t>
            </w:r>
          </w:p>
        </w:tc>
      </w:tr>
    </w:tbl>
    <w:p w14:paraId="17FA1E14">
      <w:pP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说明：</w:t>
      </w:r>
    </w:p>
    <w:p w14:paraId="618D8DB8">
      <w:pP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1.响应代表为法定代表人，则本表不需提供。</w:t>
      </w:r>
    </w:p>
    <w:p w14:paraId="771A5A9C">
      <w:pPr>
        <w:rPr>
          <w:b/>
          <w:color w:val="000000" w:themeColor="text1"/>
          <w:sz w:val="28"/>
          <w:szCs w:val="28"/>
          <w14:textFill>
            <w14:solidFill>
              <w14:schemeClr w14:val="tx1"/>
            </w14:solidFill>
          </w14:textFill>
        </w:rPr>
      </w:pPr>
      <w:r>
        <w:rPr>
          <w:rFonts w:hint="eastAsia"/>
          <w:b/>
          <w:bCs/>
          <w:color w:val="000000" w:themeColor="text1"/>
          <w:sz w:val="20"/>
          <w:szCs w:val="20"/>
          <w14:textFill>
            <w14:solidFill>
              <w14:schemeClr w14:val="tx1"/>
            </w14:solidFill>
          </w14:textFill>
        </w:rPr>
        <w:t>2.响应代表为法定代表人授权委托人的，须提供被授权人身份证复印件，否则作无效响应处理。</w:t>
      </w:r>
      <w:r>
        <w:rPr>
          <w:rFonts w:hint="eastAsia"/>
          <w:b/>
          <w:color w:val="000000" w:themeColor="text1"/>
          <w:sz w:val="28"/>
          <w:szCs w:val="28"/>
          <w14:textFill>
            <w14:solidFill>
              <w14:schemeClr w14:val="tx1"/>
            </w14:solidFill>
          </w14:textFill>
        </w:rPr>
        <w:br w:type="page"/>
      </w:r>
    </w:p>
    <w:p w14:paraId="2292C74D">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191" w:name="_Toc102936923"/>
      <w:bookmarkEnd w:id="191"/>
      <w:bookmarkStart w:id="192" w:name="_Toc31076"/>
      <w:bookmarkEnd w:id="192"/>
      <w:bookmarkStart w:id="193" w:name="_Toc104040707"/>
      <w:bookmarkEnd w:id="193"/>
      <w:bookmarkStart w:id="194" w:name="_Toc10718"/>
      <w:bookmarkStart w:id="195" w:name="_Toc103033238"/>
      <w:r>
        <w:rPr>
          <w:rFonts w:hint="eastAsia" w:ascii="宋体" w:eastAsia="宋体"/>
          <w:color w:val="000000" w:themeColor="text1"/>
          <w:sz w:val="24"/>
          <w:szCs w:val="24"/>
          <w14:textFill>
            <w14:solidFill>
              <w14:schemeClr w14:val="tx1"/>
            </w14:solidFill>
          </w14:textFill>
        </w:rPr>
        <w:t>提供具有独立承担民事责任的能力的证明材料</w:t>
      </w:r>
      <w:bookmarkEnd w:id="194"/>
      <w:bookmarkEnd w:id="195"/>
    </w:p>
    <w:p w14:paraId="659860D7">
      <w:pPr>
        <w:rPr>
          <w:i/>
          <w:iCs/>
          <w:color w:val="000000" w:themeColor="text1"/>
          <w14:textFill>
            <w14:solidFill>
              <w14:schemeClr w14:val="tx1"/>
            </w14:solidFill>
          </w14:textFill>
        </w:rPr>
      </w:pPr>
      <w:r>
        <w:rPr>
          <w:rFonts w:hint="eastAsia"/>
          <w:i/>
          <w:iCs/>
          <w:color w:val="000000" w:themeColor="text1"/>
          <w14:textFill>
            <w14:solidFill>
              <w14:schemeClr w14:val="tx1"/>
            </w14:solidFill>
          </w14:textFill>
        </w:rPr>
        <w:t>（按照磋商文件的资格要求提供相关材料）</w:t>
      </w:r>
    </w:p>
    <w:p w14:paraId="2420D011">
      <w:pPr>
        <w:rPr>
          <w:color w:val="000000" w:themeColor="text1"/>
          <w:sz w:val="28"/>
          <w:szCs w:val="28"/>
          <w14:textFill>
            <w14:solidFill>
              <w14:schemeClr w14:val="tx1"/>
            </w14:solidFill>
          </w14:textFill>
        </w:rPr>
      </w:pPr>
    </w:p>
    <w:p w14:paraId="12DA60CE">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196" w:name="_Toc10509"/>
      <w:bookmarkEnd w:id="196"/>
      <w:bookmarkStart w:id="197" w:name="_Toc104040711"/>
      <w:bookmarkStart w:id="198" w:name="_Toc9973"/>
      <w:r>
        <w:rPr>
          <w:rFonts w:hint="eastAsia" w:ascii="宋体" w:eastAsia="宋体"/>
          <w:color w:val="000000" w:themeColor="text1"/>
          <w:sz w:val="24"/>
          <w:szCs w:val="24"/>
          <w14:textFill>
            <w14:solidFill>
              <w14:schemeClr w14:val="tx1"/>
            </w14:solidFill>
          </w14:textFill>
        </w:rPr>
        <w:t>资格条件承诺函</w:t>
      </w:r>
      <w:bookmarkEnd w:id="197"/>
      <w:bookmarkEnd w:id="198"/>
    </w:p>
    <w:p w14:paraId="0909CB17">
      <w:pPr>
        <w:pStyle w:val="37"/>
        <w:autoSpaceDN/>
        <w:ind w:firstLine="0" w:firstLineChars="0"/>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资格条件承诺函</w:t>
      </w:r>
    </w:p>
    <w:p w14:paraId="1B8B024C">
      <w:pPr>
        <w:ind w:firstLine="400" w:firstLineChars="200"/>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我方</w:t>
      </w:r>
      <w:r>
        <w:rPr>
          <w:rFonts w:hint="eastAsia" w:cs="仿宋_GB2312"/>
          <w:color w:val="000000" w:themeColor="text1"/>
          <w:sz w:val="20"/>
          <w:szCs w:val="20"/>
          <w:u w:val="single"/>
          <w14:textFill>
            <w14:solidFill>
              <w14:schemeClr w14:val="tx1"/>
            </w14:solidFill>
          </w14:textFill>
        </w:rPr>
        <w:t xml:space="preserve">           （供应商名称）</w:t>
      </w:r>
      <w:r>
        <w:rPr>
          <w:rFonts w:hint="eastAsia" w:cs="仿宋_GB2312"/>
          <w:color w:val="000000" w:themeColor="text1"/>
          <w:sz w:val="20"/>
          <w:szCs w:val="20"/>
          <w14:textFill>
            <w14:solidFill>
              <w14:schemeClr w14:val="tx1"/>
            </w14:solidFill>
          </w14:textFill>
        </w:rPr>
        <w:t>符合《中华人民共和国政府采购法》第二十二条第一款第（二）项、第（三）项、第（四）项、第（五）项、第（六）项规定条件，具体包括：</w:t>
      </w:r>
    </w:p>
    <w:p w14:paraId="63D67815">
      <w:pPr>
        <w:ind w:firstLine="400" w:firstLineChars="200"/>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1.具有良好的商业信誉和健全的财务会计制度；</w:t>
      </w:r>
    </w:p>
    <w:p w14:paraId="664A9968">
      <w:pPr>
        <w:ind w:firstLine="400" w:firstLineChars="200"/>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2.具有履行合同所必需的设备和专业技术能力；</w:t>
      </w:r>
    </w:p>
    <w:p w14:paraId="27EFA642">
      <w:pPr>
        <w:ind w:firstLine="400" w:firstLineChars="200"/>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3.具有依法缴纳税收和社会保障资金的良好记录；</w:t>
      </w:r>
    </w:p>
    <w:p w14:paraId="3456CD5F">
      <w:pPr>
        <w:ind w:firstLine="400" w:firstLineChars="200"/>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4.参加采购活动前三年内，在经营活动中没有重大违法记录。</w:t>
      </w:r>
    </w:p>
    <w:p w14:paraId="4BFA4BF7">
      <w:pPr>
        <w:ind w:firstLine="400" w:firstLineChars="200"/>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5.具备法律、行政法规规定的其他条件。</w:t>
      </w:r>
    </w:p>
    <w:p w14:paraId="5069D66C">
      <w:pPr>
        <w:ind w:firstLine="400" w:firstLineChars="200"/>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我方对上述承诺的真实性负责，在评审环节结束后，自愿接受采购单位（采购代理机构）的检查核验，配合提供相关证明材料，证明符合《中华人民共和国政府采购法》规定的供应商基本资格条件。如有虚假，将依法承担相应法律责任。</w:t>
      </w:r>
    </w:p>
    <w:p w14:paraId="7513390C">
      <w:pPr>
        <w:ind w:firstLine="400" w:firstLineChars="200"/>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特此承诺。</w:t>
      </w:r>
    </w:p>
    <w:p w14:paraId="157828BC">
      <w:pPr>
        <w:ind w:firstLine="1682" w:firstLineChars="841"/>
        <w:jc w:val="center"/>
        <w:rPr>
          <w:rFonts w:cs="仿宋_GB2312"/>
          <w:color w:val="000000" w:themeColor="text1"/>
          <w:sz w:val="20"/>
          <w:szCs w:val="20"/>
          <w14:textFill>
            <w14:solidFill>
              <w14:schemeClr w14:val="tx1"/>
            </w14:solidFill>
          </w14:textFill>
        </w:rPr>
      </w:pPr>
    </w:p>
    <w:p w14:paraId="038BFD7A">
      <w:pPr>
        <w:spacing w:line="480" w:lineRule="auto"/>
        <w:jc w:val="right"/>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供应商名称（公章）：</w:t>
      </w:r>
      <w:r>
        <w:rPr>
          <w:rFonts w:hint="eastAsia" w:cs="仿宋_GB2312"/>
          <w:color w:val="000000" w:themeColor="text1"/>
          <w:sz w:val="20"/>
          <w:szCs w:val="20"/>
          <w:u w:val="single"/>
          <w14:textFill>
            <w14:solidFill>
              <w14:schemeClr w14:val="tx1"/>
            </w14:solidFill>
          </w14:textFill>
        </w:rPr>
        <w:t xml:space="preserve">                 </w:t>
      </w:r>
      <w:r>
        <w:rPr>
          <w:rFonts w:hint="eastAsia" w:cs="仿宋_GB2312"/>
          <w:color w:val="000000" w:themeColor="text1"/>
          <w:sz w:val="20"/>
          <w:szCs w:val="20"/>
          <w14:textFill>
            <w14:solidFill>
              <w14:schemeClr w14:val="tx1"/>
            </w14:solidFill>
          </w14:textFill>
        </w:rPr>
        <w:t>.</w:t>
      </w:r>
    </w:p>
    <w:p w14:paraId="7B9EF250">
      <w:pPr>
        <w:spacing w:line="480" w:lineRule="auto"/>
        <w:jc w:val="right"/>
        <w:rPr>
          <w:rFonts w:cs="仿宋_GB2312"/>
          <w:color w:val="000000" w:themeColor="text1"/>
          <w:sz w:val="20"/>
          <w:szCs w:val="20"/>
          <w14:textFill>
            <w14:solidFill>
              <w14:schemeClr w14:val="tx1"/>
            </w14:solidFill>
          </w14:textFill>
        </w:rPr>
      </w:pPr>
      <w:r>
        <w:rPr>
          <w:rFonts w:hint="eastAsia" w:cs="仿宋_GB2312"/>
          <w:color w:val="000000" w:themeColor="text1"/>
          <w:sz w:val="20"/>
          <w:szCs w:val="20"/>
          <w14:textFill>
            <w14:solidFill>
              <w14:schemeClr w14:val="tx1"/>
            </w14:solidFill>
          </w14:textFill>
        </w:rPr>
        <w:t xml:space="preserve">                日期：</w:t>
      </w:r>
      <w:r>
        <w:rPr>
          <w:rFonts w:hint="eastAsia" w:cs="仿宋_GB2312"/>
          <w:color w:val="000000" w:themeColor="text1"/>
          <w:sz w:val="20"/>
          <w:szCs w:val="20"/>
          <w:u w:val="single"/>
          <w14:textFill>
            <w14:solidFill>
              <w14:schemeClr w14:val="tx1"/>
            </w14:solidFill>
          </w14:textFill>
        </w:rPr>
        <w:t xml:space="preserve">    </w:t>
      </w:r>
      <w:r>
        <w:rPr>
          <w:rFonts w:hint="eastAsia" w:cs="仿宋_GB2312"/>
          <w:color w:val="000000" w:themeColor="text1"/>
          <w:sz w:val="20"/>
          <w:szCs w:val="20"/>
          <w14:textFill>
            <w14:solidFill>
              <w14:schemeClr w14:val="tx1"/>
            </w14:solidFill>
          </w14:textFill>
        </w:rPr>
        <w:t>年</w:t>
      </w:r>
      <w:r>
        <w:rPr>
          <w:rFonts w:hint="eastAsia" w:cs="仿宋_GB2312"/>
          <w:color w:val="000000" w:themeColor="text1"/>
          <w:sz w:val="20"/>
          <w:szCs w:val="20"/>
          <w:u w:val="single"/>
          <w14:textFill>
            <w14:solidFill>
              <w14:schemeClr w14:val="tx1"/>
            </w14:solidFill>
          </w14:textFill>
        </w:rPr>
        <w:t xml:space="preserve">    </w:t>
      </w:r>
      <w:r>
        <w:rPr>
          <w:rFonts w:hint="eastAsia" w:cs="仿宋_GB2312"/>
          <w:color w:val="000000" w:themeColor="text1"/>
          <w:sz w:val="20"/>
          <w:szCs w:val="20"/>
          <w14:textFill>
            <w14:solidFill>
              <w14:schemeClr w14:val="tx1"/>
            </w14:solidFill>
          </w14:textFill>
        </w:rPr>
        <w:t>月</w:t>
      </w:r>
      <w:r>
        <w:rPr>
          <w:rFonts w:hint="eastAsia" w:cs="仿宋_GB2312"/>
          <w:color w:val="000000" w:themeColor="text1"/>
          <w:sz w:val="20"/>
          <w:szCs w:val="20"/>
          <w:u w:val="single"/>
          <w14:textFill>
            <w14:solidFill>
              <w14:schemeClr w14:val="tx1"/>
            </w14:solidFill>
          </w14:textFill>
        </w:rPr>
        <w:t xml:space="preserve">    </w:t>
      </w:r>
      <w:r>
        <w:rPr>
          <w:rFonts w:hint="eastAsia" w:cs="仿宋_GB2312"/>
          <w:color w:val="000000" w:themeColor="text1"/>
          <w:sz w:val="20"/>
          <w:szCs w:val="20"/>
          <w14:textFill>
            <w14:solidFill>
              <w14:schemeClr w14:val="tx1"/>
            </w14:solidFill>
          </w14:textFill>
        </w:rPr>
        <w:t>日</w:t>
      </w:r>
    </w:p>
    <w:p w14:paraId="46703E92">
      <w:pPr>
        <w:ind w:firstLine="400" w:firstLineChars="200"/>
        <w:jc w:val="center"/>
        <w:rPr>
          <w:rFonts w:cs="仿宋_GB2312"/>
          <w:color w:val="000000" w:themeColor="text1"/>
          <w:sz w:val="20"/>
          <w:szCs w:val="20"/>
          <w14:textFill>
            <w14:solidFill>
              <w14:schemeClr w14:val="tx1"/>
            </w14:solidFill>
          </w14:textFill>
        </w:rPr>
      </w:pPr>
    </w:p>
    <w:p w14:paraId="1BD3F439">
      <w:pPr>
        <w:ind w:firstLine="200"/>
        <w:rPr>
          <w:rFonts w:cs="仿宋_GB2312"/>
          <w:b/>
          <w:bCs/>
          <w:color w:val="000000" w:themeColor="text1"/>
          <w:sz w:val="20"/>
          <w:szCs w:val="20"/>
          <w14:textFill>
            <w14:solidFill>
              <w14:schemeClr w14:val="tx1"/>
            </w14:solidFill>
          </w14:textFill>
        </w:rPr>
      </w:pPr>
      <w:r>
        <w:rPr>
          <w:rFonts w:hint="eastAsia" w:cs="仿宋_GB2312"/>
          <w:b/>
          <w:bCs/>
          <w:color w:val="000000" w:themeColor="text1"/>
          <w:sz w:val="20"/>
          <w:szCs w:val="20"/>
          <w14:textFill>
            <w14:solidFill>
              <w14:schemeClr w14:val="tx1"/>
            </w14:solidFill>
          </w14:textFill>
        </w:rPr>
        <w:t>说明：</w:t>
      </w:r>
    </w:p>
    <w:p w14:paraId="4026D4B8">
      <w:pPr>
        <w:pStyle w:val="40"/>
        <w:numPr>
          <w:ilvl w:val="0"/>
          <w:numId w:val="22"/>
        </w:numPr>
        <w:ind w:left="0" w:firstLine="200"/>
        <w:jc w:val="left"/>
        <w:rPr>
          <w:rFonts w:hint="eastAsia" w:ascii="宋体" w:cs="仿宋_GB2312"/>
          <w:b/>
          <w:bCs/>
          <w:color w:val="000000" w:themeColor="text1"/>
          <w:sz w:val="20"/>
          <w:szCs w:val="20"/>
          <w14:textFill>
            <w14:solidFill>
              <w14:schemeClr w14:val="tx1"/>
            </w14:solidFill>
          </w14:textFill>
        </w:rPr>
      </w:pPr>
      <w:r>
        <w:rPr>
          <w:rFonts w:hint="eastAsia" w:ascii="宋体" w:cs="仿宋_GB2312"/>
          <w:b/>
          <w:bCs/>
          <w:color w:val="000000" w:themeColor="text1"/>
          <w:sz w:val="20"/>
          <w:szCs w:val="20"/>
          <w14:textFill>
            <w14:solidFill>
              <w14:schemeClr w14:val="tx1"/>
            </w14:solidFill>
          </w14:textFill>
        </w:rPr>
        <w:t>本承诺函必须提供，且内容不得擅自删除，否则视为无效投标（响应）；</w:t>
      </w:r>
    </w:p>
    <w:p w14:paraId="2A5C9654">
      <w:pPr>
        <w:pStyle w:val="40"/>
        <w:numPr>
          <w:ilvl w:val="0"/>
          <w:numId w:val="22"/>
        </w:numPr>
        <w:ind w:left="0" w:firstLine="200"/>
        <w:jc w:val="left"/>
        <w:rPr>
          <w:rFonts w:hint="eastAsia" w:ascii="宋体" w:cs="仿宋_GB2312"/>
          <w:b/>
          <w:bCs/>
          <w:color w:val="000000" w:themeColor="text1"/>
          <w:sz w:val="20"/>
          <w:szCs w:val="20"/>
          <w14:textFill>
            <w14:solidFill>
              <w14:schemeClr w14:val="tx1"/>
            </w14:solidFill>
          </w14:textFill>
        </w:rPr>
      </w:pPr>
      <w:r>
        <w:rPr>
          <w:rFonts w:hint="eastAsia" w:ascii="宋体" w:cs="仿宋_GB2312"/>
          <w:b/>
          <w:bCs/>
          <w:color w:val="000000" w:themeColor="text1"/>
          <w:sz w:val="20"/>
          <w:szCs w:val="20"/>
          <w14:textFill>
            <w14:solidFill>
              <w14:schemeClr w14:val="tx1"/>
            </w14:solidFill>
          </w14:textFill>
        </w:rPr>
        <w:t>本承诺函如有虚假或与事实不符，作无效投标（响应）处理</w:t>
      </w:r>
      <w:r>
        <w:rPr>
          <w:rFonts w:hint="eastAsia" w:ascii="宋体"/>
          <w:b/>
          <w:bCs/>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 xml:space="preserve"> </w:t>
      </w:r>
    </w:p>
    <w:p w14:paraId="3152FCF2">
      <w:pPr>
        <w:rPr>
          <w:color w:val="000000" w:themeColor="text1"/>
          <w:sz w:val="20"/>
          <w:szCs w:val="20"/>
          <w14:textFill>
            <w14:solidFill>
              <w14:schemeClr w14:val="tx1"/>
            </w14:solidFill>
          </w14:textFill>
        </w:rPr>
      </w:pPr>
      <w:bookmarkStart w:id="199" w:name="_Toc104040712"/>
      <w:bookmarkEnd w:id="199"/>
      <w:bookmarkStart w:id="200" w:name="_Toc103033242"/>
      <w:bookmarkEnd w:id="200"/>
    </w:p>
    <w:p w14:paraId="2F843CF8">
      <w:pPr>
        <w:rPr>
          <w:color w:val="000000" w:themeColor="text1"/>
          <w:sz w:val="20"/>
          <w:szCs w:val="20"/>
          <w14:textFill>
            <w14:solidFill>
              <w14:schemeClr w14:val="tx1"/>
            </w14:solidFill>
          </w14:textFill>
        </w:rPr>
      </w:pPr>
    </w:p>
    <w:p w14:paraId="16493E87">
      <w:pPr>
        <w:pStyle w:val="3"/>
        <w:keepLines w:val="0"/>
        <w:numPr>
          <w:ilvl w:val="0"/>
          <w:numId w:val="21"/>
        </w:numPr>
        <w:spacing w:before="120" w:after="120"/>
        <w:ind w:left="720" w:hanging="720"/>
        <w:rPr>
          <w:rFonts w:hint="eastAsia" w:ascii="宋体" w:eastAsia="宋体"/>
          <w:color w:val="000000" w:themeColor="text1"/>
          <w:sz w:val="20"/>
          <w:szCs w:val="20"/>
          <w14:textFill>
            <w14:solidFill>
              <w14:schemeClr w14:val="tx1"/>
            </w14:solidFill>
          </w14:textFill>
        </w:rPr>
        <w:sectPr>
          <w:pgSz w:w="11906" w:h="16838"/>
          <w:pgMar w:top="1440" w:right="1080" w:bottom="1440" w:left="1080" w:header="426" w:footer="992" w:gutter="0"/>
          <w:cols w:space="720" w:num="1"/>
          <w:titlePg/>
          <w:docGrid w:type="lines" w:linePitch="312" w:charSpace="0"/>
        </w:sectPr>
      </w:pPr>
      <w:bookmarkStart w:id="201" w:name="_Toc2032"/>
      <w:bookmarkEnd w:id="201"/>
    </w:p>
    <w:p w14:paraId="3E7AEECF">
      <w:pPr>
        <w:pStyle w:val="3"/>
        <w:keepLines w:val="0"/>
        <w:numPr>
          <w:ilvl w:val="0"/>
          <w:numId w:val="21"/>
        </w:numPr>
        <w:spacing w:before="120" w:after="120"/>
        <w:ind w:left="720" w:hanging="720"/>
        <w:rPr>
          <w:rFonts w:hint="eastAsia" w:ascii="宋体" w:eastAsia="宋体"/>
          <w:color w:val="000000" w:themeColor="text1"/>
          <w:sz w:val="24"/>
          <w:szCs w:val="24"/>
          <w14:textFill>
            <w14:solidFill>
              <w14:schemeClr w14:val="tx1"/>
            </w14:solidFill>
          </w14:textFill>
        </w:rPr>
      </w:pPr>
      <w:bookmarkStart w:id="202" w:name="_Toc31259"/>
      <w:r>
        <w:rPr>
          <w:rFonts w:hint="eastAsia" w:ascii="宋体" w:eastAsia="宋体"/>
          <w:color w:val="000000" w:themeColor="text1"/>
          <w:sz w:val="24"/>
          <w:szCs w:val="24"/>
          <w14:textFill>
            <w14:solidFill>
              <w14:schemeClr w14:val="tx1"/>
            </w14:solidFill>
          </w14:textFill>
        </w:rPr>
        <w:t>其他资格要求</w:t>
      </w:r>
      <w:bookmarkEnd w:id="202"/>
    </w:p>
    <w:p w14:paraId="7DD2C2DC">
      <w:pPr>
        <w:rPr>
          <w:i/>
          <w:iCs/>
          <w:color w:val="000000" w:themeColor="text1"/>
          <w14:textFill>
            <w14:solidFill>
              <w14:schemeClr w14:val="tx1"/>
            </w14:solidFill>
          </w14:textFill>
        </w:rPr>
      </w:pPr>
      <w:r>
        <w:rPr>
          <w:rFonts w:hint="eastAsia"/>
          <w:i/>
          <w:iCs/>
          <w:color w:val="000000" w:themeColor="text1"/>
          <w14:textFill>
            <w14:solidFill>
              <w14:schemeClr w14:val="tx1"/>
            </w14:solidFill>
          </w14:textFill>
        </w:rPr>
        <w:t>（按照磋商文件的资格要求提供相关材料）</w:t>
      </w:r>
    </w:p>
    <w:p w14:paraId="7D63D8CF">
      <w:pPr>
        <w:pStyle w:val="11"/>
        <w:numPr>
          <w:ilvl w:val="0"/>
          <w:numId w:val="23"/>
        </w:numPr>
        <w:rPr>
          <w:color w:val="000000" w:themeColor="text1"/>
          <w14:textFill>
            <w14:solidFill>
              <w14:schemeClr w14:val="tx1"/>
            </w14:solidFill>
          </w14:textFill>
        </w:rPr>
      </w:pPr>
      <w:r>
        <w:rPr>
          <w:rFonts w:hint="eastAsia"/>
          <w:color w:val="000000" w:themeColor="text1"/>
          <w14:textFill>
            <w14:solidFill>
              <w14:schemeClr w14:val="tx1"/>
            </w14:solidFill>
          </w14:textFill>
        </w:rPr>
        <w:t>有依法缴纳税收和社会保障资金的良好记录</w:t>
      </w:r>
    </w:p>
    <w:p w14:paraId="5DD677B9">
      <w:pPr>
        <w:pStyle w:val="11"/>
        <w:numPr>
          <w:ilvl w:val="0"/>
          <w:numId w:val="23"/>
        </w:numPr>
        <w:rPr>
          <w:color w:val="000000" w:themeColor="text1"/>
          <w14:textFill>
            <w14:solidFill>
              <w14:schemeClr w14:val="tx1"/>
            </w14:solidFill>
          </w14:textFill>
        </w:rPr>
      </w:pPr>
      <w:r>
        <w:rPr>
          <w:rFonts w:hint="eastAsia"/>
          <w:color w:val="000000" w:themeColor="text1"/>
          <w14:textFill>
            <w14:solidFill>
              <w14:schemeClr w14:val="tx1"/>
            </w14:solidFill>
          </w14:textFill>
        </w:rPr>
        <w:t>具有良好的商业信誉和健全的财务会计制度</w:t>
      </w:r>
    </w:p>
    <w:p w14:paraId="3B4FEBD7">
      <w:pPr>
        <w:pStyle w:val="11"/>
        <w:numPr>
          <w:ilvl w:val="0"/>
          <w:numId w:val="23"/>
        </w:numPr>
        <w:rPr>
          <w:color w:val="000000" w:themeColor="text1"/>
          <w14:textFill>
            <w14:solidFill>
              <w14:schemeClr w14:val="tx1"/>
            </w14:solidFill>
          </w14:textFill>
        </w:rPr>
      </w:pPr>
      <w:r>
        <w:rPr>
          <w:rFonts w:hint="eastAsia"/>
          <w:color w:val="000000" w:themeColor="text1"/>
          <w14:textFill>
            <w14:solidFill>
              <w14:schemeClr w14:val="tx1"/>
            </w14:solidFill>
          </w14:textFill>
        </w:rPr>
        <w:t>信用记录</w:t>
      </w:r>
    </w:p>
    <w:p w14:paraId="72AC8437">
      <w:pPr>
        <w:pStyle w:val="11"/>
        <w:numPr>
          <w:ilvl w:val="0"/>
          <w:numId w:val="23"/>
        </w:numPr>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14:paraId="643E4776">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03" w:name="_Toc31969"/>
      <w:bookmarkEnd w:id="203"/>
      <w:bookmarkStart w:id="204" w:name="_Toc3540"/>
      <w:r>
        <w:rPr>
          <w:rFonts w:hint="eastAsia" w:ascii="宋体" w:eastAsia="宋体"/>
          <w:color w:val="000000" w:themeColor="text1"/>
          <w:sz w:val="24"/>
          <w:szCs w:val="24"/>
          <w14:textFill>
            <w14:solidFill>
              <w14:schemeClr w14:val="tx1"/>
            </w14:solidFill>
          </w14:textFill>
        </w:rPr>
        <w:t>中小企业声明函（以下格式文件由供应商根据需要选用，如不适用可删除）</w:t>
      </w:r>
      <w:bookmarkEnd w:id="204"/>
    </w:p>
    <w:p w14:paraId="6A365CE8">
      <w:pPr>
        <w:pStyle w:val="37"/>
        <w:autoSpaceDN/>
        <w:ind w:firstLine="0" w:firstLineChars="0"/>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中小企业声明函（工程、服务）</w:t>
      </w:r>
    </w:p>
    <w:p w14:paraId="758BB5DA">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本公司（联合体）郑重声明，根据《政府采购促进中小企业发展管理办法》（财库﹝2020﹞46号）的规定，本公司（联合体）参加</w:t>
      </w:r>
      <w:r>
        <w:rPr>
          <w:rFonts w:hint="eastAsia"/>
          <w:color w:val="000000" w:themeColor="text1"/>
          <w:sz w:val="20"/>
          <w:szCs w:val="20"/>
          <w:u w:val="single"/>
          <w14:textFill>
            <w14:solidFill>
              <w14:schemeClr w14:val="tx1"/>
            </w14:solidFill>
          </w14:textFill>
        </w:rPr>
        <w:t xml:space="preserve">  中华人民共和国江门海关后勤管理中心 </w:t>
      </w:r>
      <w:r>
        <w:rPr>
          <w:rFonts w:hint="eastAsia"/>
          <w:color w:val="000000" w:themeColor="text1"/>
          <w:sz w:val="20"/>
          <w:szCs w:val="20"/>
          <w14:textFill>
            <w14:solidFill>
              <w14:schemeClr w14:val="tx1"/>
            </w14:solidFill>
          </w14:textFill>
        </w:rPr>
        <w:t>的</w:t>
      </w:r>
      <w:r>
        <w:rPr>
          <w:rFonts w:hint="eastAsia"/>
          <w:color w:val="000000" w:themeColor="text1"/>
          <w:sz w:val="20"/>
          <w:szCs w:val="20"/>
          <w:u w:val="single"/>
          <w14:textFill>
            <w14:solidFill>
              <w14:schemeClr w14:val="tx1"/>
            </w14:solidFill>
          </w14:textFill>
        </w:rPr>
        <w:t xml:space="preserve">  江门海关2026年涉案船舶委托保管服务  </w:t>
      </w:r>
      <w:r>
        <w:rPr>
          <w:rFonts w:hint="eastAsia"/>
          <w:color w:val="000000" w:themeColor="text1"/>
          <w:sz w:val="20"/>
          <w:szCs w:val="20"/>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14:paraId="68D025C6">
      <w:pPr>
        <w:pStyle w:val="11"/>
        <w:ind w:firstLine="388" w:firstLineChars="200"/>
        <w:jc w:val="left"/>
        <w:rPr>
          <w:color w:val="000000" w:themeColor="text1"/>
          <w:sz w:val="20"/>
          <w:szCs w:val="20"/>
          <w14:textFill>
            <w14:solidFill>
              <w14:schemeClr w14:val="tx1"/>
            </w14:solidFill>
          </w14:textFill>
        </w:rPr>
      </w:pPr>
      <w:r>
        <w:rPr>
          <w:rFonts w:hint="eastAsia"/>
          <w:color w:val="000000" w:themeColor="text1"/>
          <w:spacing w:val="-3"/>
          <w:sz w:val="20"/>
          <w:szCs w:val="20"/>
          <w14:textFill>
            <w14:solidFill>
              <w14:schemeClr w14:val="tx1"/>
            </w14:solidFill>
          </w14:textFill>
        </w:rPr>
        <w:t>1</w:t>
      </w:r>
      <w:r>
        <w:rPr>
          <w:rFonts w:hint="eastAsia"/>
          <w:color w:val="000000" w:themeColor="text1"/>
          <w:spacing w:val="-2"/>
          <w:sz w:val="20"/>
          <w:szCs w:val="20"/>
          <w14:textFill>
            <w14:solidFill>
              <w14:schemeClr w14:val="tx1"/>
            </w14:solidFill>
          </w14:textFill>
        </w:rPr>
        <w:t>.</w:t>
      </w:r>
      <w:r>
        <w:rPr>
          <w:rFonts w:hint="eastAsia"/>
          <w:color w:val="000000" w:themeColor="text1"/>
          <w:sz w:val="20"/>
          <w:szCs w:val="20"/>
          <w:u w:val="single"/>
          <w14:textFill>
            <w14:solidFill>
              <w14:schemeClr w14:val="tx1"/>
            </w14:solidFill>
          </w14:textFill>
        </w:rPr>
        <w:t xml:space="preserve"> 江门海关2026年涉案船舶委托保管服务</w:t>
      </w:r>
      <w:r>
        <w:rPr>
          <w:rFonts w:hint="eastAsia"/>
          <w:color w:val="000000" w:themeColor="text1"/>
          <w:sz w:val="20"/>
          <w:szCs w:val="20"/>
          <w14:textFill>
            <w14:solidFill>
              <w14:schemeClr w14:val="tx1"/>
            </w14:solidFill>
          </w14:textFill>
        </w:rPr>
        <w:t>，属于</w:t>
      </w:r>
      <w:r>
        <w:rPr>
          <w:rFonts w:hint="eastAsia"/>
          <w:color w:val="000000" w:themeColor="text1"/>
          <w:sz w:val="20"/>
          <w:szCs w:val="20"/>
          <w:u w:val="single"/>
          <w14:textFill>
            <w14:solidFill>
              <w14:schemeClr w14:val="tx1"/>
            </w14:solidFill>
          </w14:textFill>
        </w:rPr>
        <w:t>交通运输业</w:t>
      </w:r>
      <w:r>
        <w:rPr>
          <w:rFonts w:hint="eastAsia"/>
          <w:color w:val="000000" w:themeColor="text1"/>
          <w:sz w:val="20"/>
          <w:szCs w:val="20"/>
          <w14:textFill>
            <w14:solidFill>
              <w14:schemeClr w14:val="tx1"/>
            </w14:solidFill>
          </w14:textFill>
        </w:rPr>
        <w:t>行业；承建（承接）企业为</w:t>
      </w:r>
      <w:r>
        <w:rPr>
          <w:rFonts w:hint="eastAsia"/>
          <w:color w:val="000000" w:themeColor="text1"/>
          <w:sz w:val="20"/>
          <w:szCs w:val="20"/>
          <w:u w:val="single"/>
          <w14:textFill>
            <w14:solidFill>
              <w14:schemeClr w14:val="tx1"/>
            </w14:solidFill>
          </w14:textFill>
        </w:rPr>
        <w:t xml:space="preserve">    （企业名称）</w:t>
      </w:r>
      <w:r>
        <w:rPr>
          <w:rFonts w:hint="eastAsia"/>
          <w:color w:val="000000" w:themeColor="text1"/>
          <w:sz w:val="20"/>
          <w:szCs w:val="20"/>
          <w14:textFill>
            <w14:solidFill>
              <w14:schemeClr w14:val="tx1"/>
            </w14:solidFill>
          </w14:textFill>
        </w:rPr>
        <w:t>，从业人员</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人，营业收入为</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万元，资产总额为</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u w:val="single"/>
          <w14:textFill>
            <w14:solidFill>
              <w14:schemeClr w14:val="tx1"/>
            </w14:solidFill>
          </w14:textFill>
        </w:rPr>
        <w:tab/>
      </w:r>
      <w:r>
        <w:rPr>
          <w:rFonts w:hint="eastAsia"/>
          <w:color w:val="000000" w:themeColor="text1"/>
          <w:sz w:val="20"/>
          <w:szCs w:val="20"/>
          <w14:textFill>
            <w14:solidFill>
              <w14:schemeClr w14:val="tx1"/>
            </w14:solidFill>
          </w14:textFill>
        </w:rPr>
        <w:t>万元</w:t>
      </w:r>
      <w:r>
        <w:rPr>
          <w:rFonts w:hint="eastAsia"/>
          <w:color w:val="000000" w:themeColor="text1"/>
          <w:spacing w:val="-3"/>
          <w:position w:val="4"/>
          <w:sz w:val="20"/>
          <w:szCs w:val="20"/>
          <w:vertAlign w:val="superscript"/>
          <w14:textFill>
            <w14:solidFill>
              <w14:schemeClr w14:val="tx1"/>
            </w14:solidFill>
          </w14:textFill>
        </w:rPr>
        <w:t>1</w:t>
      </w:r>
      <w:r>
        <w:rPr>
          <w:rFonts w:hint="eastAsia"/>
          <w:color w:val="000000" w:themeColor="text1"/>
          <w:sz w:val="20"/>
          <w:szCs w:val="20"/>
          <w14:textFill>
            <w14:solidFill>
              <w14:schemeClr w14:val="tx1"/>
            </w14:solidFill>
          </w14:textFill>
        </w:rPr>
        <w:t>，属于</w:t>
      </w:r>
      <w:r>
        <w:rPr>
          <w:rFonts w:hint="eastAsia"/>
          <w:color w:val="000000" w:themeColor="text1"/>
          <w:sz w:val="20"/>
          <w:szCs w:val="20"/>
          <w:u w:val="single"/>
          <w14:textFill>
            <w14:solidFill>
              <w14:schemeClr w14:val="tx1"/>
            </w14:solidFill>
          </w14:textFill>
        </w:rPr>
        <w:t xml:space="preserve">    （中型企业、</w:t>
      </w:r>
      <w:r>
        <w:rPr>
          <w:rFonts w:hint="eastAsia"/>
          <w:color w:val="000000" w:themeColor="text1"/>
          <w:spacing w:val="-17"/>
          <w:sz w:val="20"/>
          <w:szCs w:val="20"/>
          <w:u w:val="single"/>
          <w14:textFill>
            <w14:solidFill>
              <w14:schemeClr w14:val="tx1"/>
            </w14:solidFill>
          </w14:textFill>
        </w:rPr>
        <w:t>小型企业</w:t>
      </w:r>
      <w:r>
        <w:rPr>
          <w:rFonts w:hint="eastAsia"/>
          <w:color w:val="000000" w:themeColor="text1"/>
          <w:sz w:val="20"/>
          <w:szCs w:val="20"/>
          <w:u w:val="single"/>
          <w14:textFill>
            <w14:solidFill>
              <w14:schemeClr w14:val="tx1"/>
            </w14:solidFill>
          </w14:textFill>
        </w:rPr>
        <w:t>、微型企业）；</w:t>
      </w:r>
    </w:p>
    <w:p w14:paraId="66402EF5">
      <w:pPr>
        <w:pStyle w:val="28"/>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以上企业，不属于大企业的分支机构，不存在控股股东为大企业的情形，也不存在与大企业的负责人为同一人的情形。</w:t>
      </w:r>
    </w:p>
    <w:p w14:paraId="1132FA0C">
      <w:pPr>
        <w:pStyle w:val="28"/>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本企业对上述声明内容的真实性负责。如有虚假，将依法承担相应责任。</w:t>
      </w:r>
    </w:p>
    <w:p w14:paraId="58B4EF48">
      <w:pPr>
        <w:pStyle w:val="28"/>
        <w:spacing w:after="0" w:line="360" w:lineRule="auto"/>
        <w:ind w:left="0" w:leftChars="0" w:firstLine="400"/>
        <w:rPr>
          <w:color w:val="000000" w:themeColor="text1"/>
          <w:sz w:val="20"/>
          <w:szCs w:val="20"/>
          <w14:textFill>
            <w14:solidFill>
              <w14:schemeClr w14:val="tx1"/>
            </w14:solidFill>
          </w14:textFill>
        </w:rPr>
      </w:pPr>
    </w:p>
    <w:p w14:paraId="721BC118">
      <w:pPr>
        <w:pStyle w:val="37"/>
        <w:autoSpaceDN/>
        <w:ind w:firstLine="0" w:firstLineChars="0"/>
        <w:jc w:val="right"/>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企业名称（盖章）：</w:t>
      </w:r>
      <w:r>
        <w:rPr>
          <w:rFonts w:hint="eastAsia"/>
          <w:color w:val="000000" w:themeColor="text1"/>
          <w:sz w:val="20"/>
          <w:szCs w:val="20"/>
          <w:u w:val="single"/>
          <w14:textFill>
            <w14:solidFill>
              <w14:schemeClr w14:val="tx1"/>
            </w14:solidFill>
          </w14:textFill>
        </w:rPr>
        <w:t xml:space="preserve">                 .</w:t>
      </w:r>
    </w:p>
    <w:p w14:paraId="4228BA42">
      <w:pPr>
        <w:pStyle w:val="37"/>
        <w:autoSpaceDN/>
        <w:ind w:left="5141" w:leftChars="2448" w:firstLine="40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07BCCCBF">
      <w:pPr>
        <w:pStyle w:val="37"/>
        <w:autoSpaceDN/>
        <w:ind w:firstLine="0" w:firstLineChars="0"/>
        <w:rPr>
          <w:b/>
          <w:bCs/>
          <w:color w:val="000000" w:themeColor="text1"/>
          <w:sz w:val="20"/>
          <w:szCs w:val="20"/>
          <w14:textFill>
            <w14:solidFill>
              <w14:schemeClr w14:val="tx1"/>
            </w14:solidFill>
          </w14:textFill>
        </w:rPr>
      </w:pPr>
    </w:p>
    <w:p w14:paraId="179CB9E7">
      <w:pPr>
        <w:pStyle w:val="37"/>
        <w:autoSpaceDN/>
        <w:ind w:firstLine="0" w:firstLineChars="0"/>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说明：</w:t>
      </w:r>
    </w:p>
    <w:p w14:paraId="57A86B40">
      <w:pPr>
        <w:ind w:firstLine="400" w:firstLineChars="200"/>
        <w:rPr>
          <w:color w:val="000000" w:themeColor="text1"/>
          <w:sz w:val="20"/>
          <w:szCs w:val="20"/>
          <w14:textFill>
            <w14:solidFill>
              <w14:schemeClr w14:val="tx1"/>
            </w14:solidFill>
          </w14:textFill>
        </w:rPr>
      </w:pPr>
      <w:bookmarkStart w:id="205" w:name="_Hlk103521840"/>
      <w:bookmarkEnd w:id="205"/>
      <w:r>
        <w:rPr>
          <w:rFonts w:hint="eastAsia"/>
          <w:color w:val="000000" w:themeColor="text1"/>
          <w:sz w:val="20"/>
          <w:szCs w:val="20"/>
          <w14:textFill>
            <w14:solidFill>
              <w14:schemeClr w14:val="tx1"/>
            </w14:solidFill>
          </w14:textFill>
        </w:rPr>
        <w:t>1.</w:t>
      </w:r>
      <w:r>
        <w:rPr>
          <w:rFonts w:hint="eastAsia"/>
          <w:color w:val="000000" w:themeColor="text1"/>
          <w:sz w:val="20"/>
          <w:szCs w:val="20"/>
          <w:vertAlign w:val="superscript"/>
          <w14:textFill>
            <w14:solidFill>
              <w14:schemeClr w14:val="tx1"/>
            </w14:solidFill>
          </w14:textFill>
        </w:rPr>
        <w:t>1</w:t>
      </w:r>
      <w:r>
        <w:rPr>
          <w:rFonts w:hint="eastAsia"/>
          <w:color w:val="000000" w:themeColor="text1"/>
          <w:sz w:val="20"/>
          <w:szCs w:val="20"/>
          <w14:textFill>
            <w14:solidFill>
              <w14:schemeClr w14:val="tx1"/>
            </w14:solidFill>
          </w14:textFill>
        </w:rPr>
        <w:t>从业人员、营业收入、资产总额填报上一年度数据，无上一年度数据的新成立企业可不填报。</w:t>
      </w:r>
    </w:p>
    <w:p w14:paraId="3BCB9B02">
      <w:pPr>
        <w:ind w:firstLine="402" w:firstLineChars="200"/>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2.标的名称：根据供应商投报内容填写：</w:t>
      </w:r>
      <w:r>
        <w:rPr>
          <w:rFonts w:hint="eastAsia"/>
          <w:b/>
          <w:bCs/>
          <w:color w:val="000000" w:themeColor="text1"/>
          <w:sz w:val="20"/>
          <w:szCs w:val="20"/>
          <w:u w:val="single"/>
          <w14:textFill>
            <w14:solidFill>
              <w14:schemeClr w14:val="tx1"/>
            </w14:solidFill>
          </w14:textFill>
        </w:rPr>
        <w:t>江门海关2026年涉案船舶委托保管服务</w:t>
      </w:r>
      <w:r>
        <w:rPr>
          <w:rFonts w:hint="eastAsia"/>
          <w:b/>
          <w:bCs/>
          <w:color w:val="000000" w:themeColor="text1"/>
          <w:sz w:val="20"/>
          <w:szCs w:val="20"/>
          <w14:textFill>
            <w14:solidFill>
              <w14:schemeClr w14:val="tx1"/>
            </w14:solidFill>
          </w14:textFill>
        </w:rPr>
        <w:t>。</w:t>
      </w:r>
      <w:r>
        <w:rPr>
          <w:rFonts w:hint="eastAsia"/>
          <w:color w:val="000000" w:themeColor="text1"/>
          <w:sz w:val="20"/>
          <w:szCs w:val="20"/>
          <w14:textFill>
            <w14:solidFill>
              <w14:schemeClr w14:val="tx1"/>
            </w14:solidFill>
          </w14:textFill>
        </w:rPr>
        <w:t>所属行业填写磋商文件中明确的本项目所属行业。</w:t>
      </w:r>
    </w:p>
    <w:p w14:paraId="53C951E0">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3.针对不属于专门面向中小企业采购的项目，承建本项目工程为中小企业或者承接本项目服务为中小企业时，可选择提供本声明函，填写相应信息，并明确企业类型，否则评审时不能享受相应的价格扣除；如供应商认为其非中小企业的，则无须提供本声明函。</w:t>
      </w:r>
    </w:p>
    <w:p w14:paraId="1C1C7EFC">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4.供应商应当对其出具的《中小企业声明函》真实性负责，供应商出具的《中小企业声明函》内容不实的，属于虚假承诺，可能面临因提供虚假资料谋取中标（成交）被监管部门追究相关法律责任。请供应商务必依据规定谨慎提供声明，避免不必要的法律风险。</w:t>
      </w:r>
    </w:p>
    <w:p w14:paraId="76194B3C">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 xml:space="preserve">5.供应商根据磋商文件中明确的行业所对应的划分标准，判断其是否属于中小企业，如属于中小企业，请根据自身情况三选一（中型企业、小型企业、微型企业）填写。 </w:t>
      </w:r>
    </w:p>
    <w:p w14:paraId="7C203474">
      <w:pPr>
        <w:pStyle w:val="37"/>
        <w:autoSpaceDN/>
        <w:ind w:firstLine="400"/>
        <w:rPr>
          <w:color w:val="000000" w:themeColor="text1"/>
          <w:sz w:val="20"/>
          <w:szCs w:val="20"/>
          <w14:textFill>
            <w14:solidFill>
              <w14:schemeClr w14:val="tx1"/>
            </w14:solidFill>
          </w14:textFill>
        </w:rPr>
      </w:pPr>
      <w:bookmarkStart w:id="206" w:name="_Toc103033243"/>
      <w:bookmarkEnd w:id="206"/>
      <w:r>
        <w:rPr>
          <w:rFonts w:hint="eastAsia"/>
          <w:color w:val="000000" w:themeColor="text1"/>
          <w:sz w:val="20"/>
          <w:szCs w:val="20"/>
          <w14:textFill>
            <w14:solidFill>
              <w14:schemeClr w14:val="tx1"/>
            </w14:solidFill>
          </w14:textFill>
        </w:rPr>
        <w:t>6.为方便广大中小企业识别企业规模类型，可通过中小企业规模类型自测小程序（https://baosong.miit.gov.cn/ScaleTest）进行查询。</w:t>
      </w:r>
    </w:p>
    <w:p w14:paraId="7332C137">
      <w:pPr>
        <w:rPr>
          <w:b/>
          <w:bCs/>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br w:type="page"/>
      </w:r>
    </w:p>
    <w:p w14:paraId="18F0554C">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07" w:name="_Toc104040713"/>
      <w:bookmarkEnd w:id="207"/>
      <w:bookmarkStart w:id="208" w:name="_Toc22362"/>
      <w:bookmarkStart w:id="209" w:name="_Toc6066"/>
      <w:r>
        <w:rPr>
          <w:rFonts w:hint="eastAsia" w:ascii="宋体" w:eastAsia="宋体"/>
          <w:color w:val="000000" w:themeColor="text1"/>
          <w:sz w:val="24"/>
          <w:szCs w:val="24"/>
          <w14:textFill>
            <w14:solidFill>
              <w14:schemeClr w14:val="tx1"/>
            </w14:solidFill>
          </w14:textFill>
        </w:rPr>
        <w:t>监狱企业</w:t>
      </w:r>
      <w:bookmarkEnd w:id="208"/>
      <w:bookmarkEnd w:id="209"/>
    </w:p>
    <w:p w14:paraId="5DAF3300">
      <w:pPr>
        <w:rPr>
          <w:i/>
          <w:iCs/>
          <w:color w:val="000000" w:themeColor="text1"/>
          <w14:textFill>
            <w14:solidFill>
              <w14:schemeClr w14:val="tx1"/>
            </w14:solidFill>
          </w14:textFill>
        </w:rPr>
      </w:pPr>
      <w:r>
        <w:rPr>
          <w:rFonts w:hint="eastAsia"/>
          <w:i/>
          <w:iCs/>
          <w:color w:val="000000" w:themeColor="text1"/>
          <w14:textFill>
            <w14:solidFill>
              <w14:schemeClr w14:val="tx1"/>
            </w14:solidFill>
          </w14:textFill>
        </w:rPr>
        <w:t>（以下格式文件由供应商根据需要选用，如不适用可删除）</w:t>
      </w:r>
    </w:p>
    <w:p w14:paraId="36C0B566">
      <w:pPr>
        <w:pStyle w:val="11"/>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监狱企业</w:t>
      </w:r>
    </w:p>
    <w:p w14:paraId="167FC554">
      <w:pPr>
        <w:pStyle w:val="11"/>
        <w:rPr>
          <w:color w:val="000000" w:themeColor="text1"/>
          <w:sz w:val="20"/>
          <w:szCs w:val="20"/>
          <w14:textFill>
            <w14:solidFill>
              <w14:schemeClr w14:val="tx1"/>
            </w14:solidFill>
          </w14:textFill>
        </w:rPr>
      </w:pPr>
    </w:p>
    <w:p w14:paraId="722A9C1D">
      <w:pPr>
        <w:pStyle w:val="11"/>
        <w:rPr>
          <w:color w:val="000000" w:themeColor="text1"/>
          <w:sz w:val="20"/>
          <w:szCs w:val="20"/>
          <w14:textFill>
            <w14:solidFill>
              <w14:schemeClr w14:val="tx1"/>
            </w14:solidFill>
          </w14:textFill>
        </w:rPr>
      </w:pPr>
      <w:bookmarkStart w:id="210" w:name="_Hlk104159631"/>
      <w:bookmarkEnd w:id="210"/>
      <w:r>
        <w:rPr>
          <w:rFonts w:hint="eastAsia"/>
          <w:color w:val="000000" w:themeColor="text1"/>
          <w:sz w:val="20"/>
          <w:szCs w:val="20"/>
          <w14:textFill>
            <w14:solidFill>
              <w14:schemeClr w14:val="tx1"/>
            </w14:solidFill>
          </w14:textFill>
        </w:rPr>
        <w:t>说明：</w:t>
      </w:r>
    </w:p>
    <w:p w14:paraId="186FED7D">
      <w:pPr>
        <w:pStyle w:val="11"/>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1.监狱企业参加采购活动时，提供由监狱管理局、戒毒管理局（含新疆生产建设兵团）出具的属于监狱企业的证明文件；</w:t>
      </w:r>
    </w:p>
    <w:p w14:paraId="1E35AA78">
      <w:pPr>
        <w:pStyle w:val="11"/>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2.如供应商不属于监狱企业，则无须提供。</w:t>
      </w:r>
    </w:p>
    <w:p w14:paraId="23DDC5B9">
      <w:pPr>
        <w:pStyle w:val="11"/>
        <w:rPr>
          <w:color w:val="000000" w:themeColor="text1"/>
          <w:sz w:val="24"/>
          <w14:textFill>
            <w14:solidFill>
              <w14:schemeClr w14:val="tx1"/>
            </w14:solidFill>
          </w14:textFill>
        </w:rPr>
      </w:pPr>
    </w:p>
    <w:p w14:paraId="41F4A91C">
      <w:pPr>
        <w:jc w:val="left"/>
        <w:rPr>
          <w:color w:val="000000" w:themeColor="text1"/>
          <w:sz w:val="28"/>
          <w:szCs w:val="28"/>
          <w14:textFill>
            <w14:solidFill>
              <w14:schemeClr w14:val="tx1"/>
            </w14:solidFill>
          </w14:textFill>
        </w:rPr>
      </w:pPr>
    </w:p>
    <w:p w14:paraId="5B30F870">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11" w:name="_Toc3839"/>
      <w:bookmarkEnd w:id="211"/>
      <w:bookmarkStart w:id="212" w:name="_Toc103033244"/>
      <w:bookmarkEnd w:id="212"/>
      <w:bookmarkStart w:id="213" w:name="_Toc104040714"/>
      <w:bookmarkStart w:id="214" w:name="_Toc32225"/>
      <w:r>
        <w:rPr>
          <w:rFonts w:hint="eastAsia" w:ascii="宋体" w:eastAsia="宋体"/>
          <w:color w:val="000000" w:themeColor="text1"/>
          <w:sz w:val="24"/>
          <w:szCs w:val="24"/>
          <w14:textFill>
            <w14:solidFill>
              <w14:schemeClr w14:val="tx1"/>
            </w14:solidFill>
          </w14:textFill>
        </w:rPr>
        <w:t>残疾人福利性单位声明</w:t>
      </w:r>
      <w:bookmarkEnd w:id="213"/>
      <w:bookmarkEnd w:id="214"/>
    </w:p>
    <w:p w14:paraId="4175FC63">
      <w:pPr>
        <w:rPr>
          <w:i/>
          <w:iCs/>
          <w:color w:val="000000" w:themeColor="text1"/>
          <w:sz w:val="20"/>
          <w:szCs w:val="20"/>
          <w14:textFill>
            <w14:solidFill>
              <w14:schemeClr w14:val="tx1"/>
            </w14:solidFill>
          </w14:textFill>
        </w:rPr>
      </w:pPr>
      <w:r>
        <w:rPr>
          <w:rFonts w:hint="eastAsia"/>
          <w:i/>
          <w:iCs/>
          <w:color w:val="000000" w:themeColor="text1"/>
          <w:sz w:val="20"/>
          <w:szCs w:val="20"/>
          <w14:textFill>
            <w14:solidFill>
              <w14:schemeClr w14:val="tx1"/>
            </w14:solidFill>
          </w14:textFill>
        </w:rPr>
        <w:t>（以下格式文件由供应商根据需要选用，如不适用可删除）</w:t>
      </w:r>
    </w:p>
    <w:p w14:paraId="3B5878BC">
      <w:pPr>
        <w:pStyle w:val="11"/>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残疾人福利性单位声明函</w:t>
      </w:r>
    </w:p>
    <w:p w14:paraId="4D6C27A8">
      <w:pPr>
        <w:ind w:firstLine="424" w:firstLineChars="200"/>
        <w:rPr>
          <w:color w:val="000000" w:themeColor="text1"/>
          <w:spacing w:val="6"/>
          <w:sz w:val="20"/>
          <w:szCs w:val="20"/>
          <w14:textFill>
            <w14:solidFill>
              <w14:schemeClr w14:val="tx1"/>
            </w14:solidFill>
          </w14:textFill>
        </w:rPr>
      </w:pPr>
      <w:r>
        <w:rPr>
          <w:rFonts w:hint="eastAsia"/>
          <w:color w:val="000000" w:themeColor="text1"/>
          <w:spacing w:val="6"/>
          <w:sz w:val="20"/>
          <w:szCs w:val="20"/>
          <w14:textFill>
            <w14:solidFill>
              <w14:schemeClr w14:val="tx1"/>
            </w14:solidFill>
          </w14:textFill>
        </w:rPr>
        <w:t>本单位郑重声明，根据《财政部 民政部 中国残疾人联合会关于促进残疾人就业政府采购政策的通知》（财库</w:t>
      </w:r>
      <w:r>
        <w:rPr>
          <w:rFonts w:hint="eastAsia"/>
          <w:color w:val="000000" w:themeColor="text1"/>
          <w:sz w:val="20"/>
          <w:szCs w:val="20"/>
          <w14:textFill>
            <w14:solidFill>
              <w14:schemeClr w14:val="tx1"/>
            </w14:solidFill>
          </w14:textFill>
        </w:rPr>
        <w:t>〔2017〕141</w:t>
      </w:r>
      <w:r>
        <w:rPr>
          <w:rFonts w:hint="eastAsia"/>
          <w:color w:val="000000" w:themeColor="text1"/>
          <w:spacing w:val="6"/>
          <w:sz w:val="20"/>
          <w:szCs w:val="20"/>
          <w14:textFill>
            <w14:solidFill>
              <w14:schemeClr w14:val="tx1"/>
            </w14:solidFill>
          </w14:textFill>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98B2084">
      <w:pPr>
        <w:ind w:firstLine="424" w:firstLineChars="200"/>
        <w:rPr>
          <w:color w:val="000000" w:themeColor="text1"/>
          <w:spacing w:val="6"/>
          <w:sz w:val="20"/>
          <w:szCs w:val="20"/>
          <w14:textFill>
            <w14:solidFill>
              <w14:schemeClr w14:val="tx1"/>
            </w14:solidFill>
          </w14:textFill>
        </w:rPr>
      </w:pPr>
      <w:r>
        <w:rPr>
          <w:rFonts w:hint="eastAsia"/>
          <w:color w:val="000000" w:themeColor="text1"/>
          <w:spacing w:val="6"/>
          <w:sz w:val="20"/>
          <w:szCs w:val="20"/>
          <w14:textFill>
            <w14:solidFill>
              <w14:schemeClr w14:val="tx1"/>
            </w14:solidFill>
          </w14:textFill>
        </w:rPr>
        <w:t>本单位对上述声明的真实性负责。如有虚假，将依法承担相应责任。</w:t>
      </w:r>
    </w:p>
    <w:p w14:paraId="1A4C9E32">
      <w:pPr>
        <w:spacing w:line="588" w:lineRule="exact"/>
        <w:ind w:firstLine="424" w:firstLineChars="200"/>
        <w:rPr>
          <w:color w:val="000000" w:themeColor="text1"/>
          <w:spacing w:val="6"/>
          <w:sz w:val="20"/>
          <w:szCs w:val="20"/>
          <w14:textFill>
            <w14:solidFill>
              <w14:schemeClr w14:val="tx1"/>
            </w14:solidFill>
          </w14:textFill>
        </w:rPr>
      </w:pPr>
    </w:p>
    <w:p w14:paraId="5A4B8D57">
      <w:pPr>
        <w:adjustRightInd w:val="0"/>
        <w:snapToGrid w:val="0"/>
        <w:spacing w:line="480" w:lineRule="auto"/>
        <w:ind w:right="91"/>
        <w:jc w:val="right"/>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单位名称（盖章）：</w:t>
      </w:r>
      <w:r>
        <w:rPr>
          <w:rFonts w:hint="eastAsia"/>
          <w:color w:val="000000" w:themeColor="text1"/>
          <w:sz w:val="20"/>
          <w:szCs w:val="20"/>
          <w:u w:val="single"/>
          <w14:textFill>
            <w14:solidFill>
              <w14:schemeClr w14:val="tx1"/>
            </w14:solidFill>
          </w14:textFill>
        </w:rPr>
        <w:t xml:space="preserve">                    .</w:t>
      </w:r>
    </w:p>
    <w:p w14:paraId="6BD5FC66">
      <w:pPr>
        <w:adjustRightInd w:val="0"/>
        <w:snapToGrid w:val="0"/>
        <w:spacing w:line="480" w:lineRule="auto"/>
        <w:ind w:right="91"/>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44A1CEA8">
      <w:pPr>
        <w:pStyle w:val="11"/>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说明：</w:t>
      </w:r>
    </w:p>
    <w:p w14:paraId="181D1752">
      <w:pPr>
        <w:pStyle w:val="11"/>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1.本函未填写或未勾选视作未做声明</w:t>
      </w:r>
    </w:p>
    <w:p w14:paraId="14A7991B">
      <w:pPr>
        <w:pStyle w:val="11"/>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2.如供应商不属于残疾人福利单位，则无须提供。</w:t>
      </w:r>
    </w:p>
    <w:p w14:paraId="4B7F1C30">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sectPr>
          <w:pgSz w:w="11906" w:h="16838"/>
          <w:pgMar w:top="1440" w:right="1080" w:bottom="1440" w:left="1080" w:header="426" w:footer="992" w:gutter="0"/>
          <w:cols w:space="720" w:num="1"/>
          <w:titlePg/>
          <w:docGrid w:type="lines" w:linePitch="312" w:charSpace="0"/>
        </w:sectPr>
      </w:pPr>
      <w:bookmarkStart w:id="215" w:name="_Toc29642"/>
      <w:bookmarkEnd w:id="215"/>
      <w:bookmarkStart w:id="216" w:name="_Toc103033253"/>
      <w:bookmarkEnd w:id="216"/>
      <w:bookmarkStart w:id="217" w:name="_Toc104040716"/>
      <w:bookmarkEnd w:id="217"/>
      <w:bookmarkStart w:id="218" w:name="_Toc103033245"/>
      <w:bookmarkEnd w:id="218"/>
      <w:bookmarkStart w:id="219" w:name="_Toc102936930"/>
    </w:p>
    <w:p w14:paraId="4B2BAE80">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20" w:name="_Toc28664"/>
      <w:r>
        <w:rPr>
          <w:rFonts w:hint="eastAsia" w:ascii="宋体" w:eastAsia="宋体"/>
          <w:color w:val="000000" w:themeColor="text1"/>
          <w:sz w:val="24"/>
          <w:szCs w:val="24"/>
          <w14:textFill>
            <w14:solidFill>
              <w14:schemeClr w14:val="tx1"/>
            </w14:solidFill>
          </w14:textFill>
        </w:rPr>
        <w:t>需要采购人提供的附加条件</w:t>
      </w:r>
      <w:bookmarkEnd w:id="219"/>
      <w:bookmarkEnd w:id="220"/>
    </w:p>
    <w:p w14:paraId="5A756F7F">
      <w:pPr>
        <w:rPr>
          <w:i/>
          <w:iCs/>
          <w:color w:val="000000" w:themeColor="text1"/>
          <w:sz w:val="20"/>
          <w:szCs w:val="20"/>
          <w14:textFill>
            <w14:solidFill>
              <w14:schemeClr w14:val="tx1"/>
            </w14:solidFill>
          </w14:textFill>
        </w:rPr>
      </w:pPr>
      <w:r>
        <w:rPr>
          <w:rFonts w:hint="eastAsia"/>
          <w:i/>
          <w:iCs/>
          <w:color w:val="000000" w:themeColor="text1"/>
          <w:sz w:val="20"/>
          <w:szCs w:val="20"/>
          <w14:textFill>
            <w14:solidFill>
              <w14:schemeClr w14:val="tx1"/>
            </w14:solidFill>
          </w14:textFill>
        </w:rPr>
        <w:t>（以下格式文件由供应商根据需要选用）</w:t>
      </w:r>
      <w:bookmarkStart w:id="221" w:name="_Toc66392098"/>
      <w:bookmarkEnd w:id="221"/>
    </w:p>
    <w:p w14:paraId="2915E585">
      <w:pPr>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需要采购人提供的附加条件</w:t>
      </w:r>
    </w:p>
    <w:tbl>
      <w:tblPr>
        <w:tblStyle w:val="29"/>
        <w:tblW w:w="5000" w:type="pct"/>
        <w:tblInd w:w="108" w:type="dxa"/>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Layout w:type="autofit"/>
        <w:tblCellMar>
          <w:top w:w="0" w:type="dxa"/>
          <w:left w:w="0" w:type="dxa"/>
          <w:bottom w:w="0" w:type="dxa"/>
          <w:right w:w="0" w:type="dxa"/>
        </w:tblCellMar>
      </w:tblPr>
      <w:tblGrid>
        <w:gridCol w:w="1533"/>
        <w:gridCol w:w="8229"/>
      </w:tblGrid>
      <w:tr w14:paraId="086C7EF2">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785" w:type="pct"/>
            <w:tcBorders>
              <w:top w:val="single" w:color="auto" w:sz="6" w:space="0"/>
              <w:left w:val="single" w:color="auto" w:sz="6" w:space="0"/>
              <w:bottom w:val="single" w:color="auto" w:sz="6" w:space="0"/>
              <w:right w:val="single" w:color="auto" w:sz="6" w:space="0"/>
              <w:tl2br w:val="nil"/>
              <w:tr2bl w:val="nil"/>
            </w:tcBorders>
            <w:vAlign w:val="center"/>
          </w:tcPr>
          <w:p w14:paraId="2F6E0839">
            <w:pPr>
              <w:spacing w:before="156" w:beforeLines="50" w:after="156" w:afterLines="50"/>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序号</w:t>
            </w:r>
          </w:p>
        </w:tc>
        <w:tc>
          <w:tcPr>
            <w:tcW w:w="4215" w:type="pct"/>
            <w:tcBorders>
              <w:top w:val="single" w:color="auto" w:sz="6" w:space="0"/>
              <w:left w:val="nil"/>
              <w:bottom w:val="single" w:color="auto" w:sz="6" w:space="0"/>
              <w:right w:val="single" w:color="auto" w:sz="6" w:space="0"/>
              <w:tl2br w:val="nil"/>
              <w:tr2bl w:val="nil"/>
            </w:tcBorders>
            <w:vAlign w:val="center"/>
          </w:tcPr>
          <w:p w14:paraId="6E8CEFB7">
            <w:pPr>
              <w:spacing w:before="156" w:beforeLines="50" w:after="156" w:afterLines="50"/>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供应商需要采购人提供的附加条件</w:t>
            </w:r>
          </w:p>
        </w:tc>
      </w:tr>
      <w:tr w14:paraId="52E4C63F">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785" w:type="pct"/>
            <w:tcBorders>
              <w:top w:val="single" w:color="auto" w:sz="6" w:space="0"/>
              <w:left w:val="single" w:color="auto" w:sz="6" w:space="0"/>
              <w:bottom w:val="single" w:color="auto" w:sz="6" w:space="0"/>
              <w:right w:val="single" w:color="auto" w:sz="6" w:space="0"/>
              <w:tl2br w:val="nil"/>
              <w:tr2bl w:val="nil"/>
            </w:tcBorders>
            <w:vAlign w:val="center"/>
          </w:tcPr>
          <w:p w14:paraId="454B3DDA">
            <w:pPr>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w:t>
            </w:r>
          </w:p>
        </w:tc>
        <w:tc>
          <w:tcPr>
            <w:tcW w:w="4215" w:type="pct"/>
            <w:tcBorders>
              <w:top w:val="single" w:color="auto" w:sz="6" w:space="0"/>
              <w:left w:val="nil"/>
              <w:bottom w:val="single" w:color="auto" w:sz="6" w:space="0"/>
              <w:right w:val="single" w:color="auto" w:sz="6" w:space="0"/>
              <w:tl2br w:val="nil"/>
              <w:tr2bl w:val="nil"/>
            </w:tcBorders>
            <w:vAlign w:val="center"/>
          </w:tcPr>
          <w:p w14:paraId="7DBCE0A5">
            <w:pPr>
              <w:spacing w:before="156" w:beforeLines="50" w:after="156" w:afterLines="50"/>
              <w:jc w:val="center"/>
              <w:rPr>
                <w:color w:val="000000" w:themeColor="text1"/>
                <w:sz w:val="20"/>
                <w:szCs w:val="20"/>
                <w14:textFill>
                  <w14:solidFill>
                    <w14:schemeClr w14:val="tx1"/>
                  </w14:solidFill>
                </w14:textFill>
              </w:rPr>
            </w:pPr>
          </w:p>
        </w:tc>
      </w:tr>
      <w:tr w14:paraId="5E808059">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785" w:type="pct"/>
            <w:tcBorders>
              <w:top w:val="single" w:color="auto" w:sz="6" w:space="0"/>
              <w:left w:val="single" w:color="auto" w:sz="6" w:space="0"/>
              <w:bottom w:val="single" w:color="auto" w:sz="6" w:space="0"/>
              <w:right w:val="single" w:color="auto" w:sz="6" w:space="0"/>
              <w:tl2br w:val="nil"/>
              <w:tr2bl w:val="nil"/>
            </w:tcBorders>
            <w:vAlign w:val="center"/>
          </w:tcPr>
          <w:p w14:paraId="5B2A78E7">
            <w:pPr>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w:t>
            </w:r>
          </w:p>
        </w:tc>
        <w:tc>
          <w:tcPr>
            <w:tcW w:w="4215" w:type="pct"/>
            <w:tcBorders>
              <w:top w:val="single" w:color="auto" w:sz="6" w:space="0"/>
              <w:left w:val="nil"/>
              <w:bottom w:val="single" w:color="auto" w:sz="6" w:space="0"/>
              <w:right w:val="single" w:color="auto" w:sz="6" w:space="0"/>
              <w:tl2br w:val="nil"/>
              <w:tr2bl w:val="nil"/>
            </w:tcBorders>
            <w:vAlign w:val="center"/>
          </w:tcPr>
          <w:p w14:paraId="2C215D34">
            <w:pPr>
              <w:spacing w:before="156" w:beforeLines="50" w:after="156" w:afterLines="50"/>
              <w:jc w:val="center"/>
              <w:rPr>
                <w:color w:val="000000" w:themeColor="text1"/>
                <w:sz w:val="20"/>
                <w:szCs w:val="20"/>
                <w14:textFill>
                  <w14:solidFill>
                    <w14:schemeClr w14:val="tx1"/>
                  </w14:solidFill>
                </w14:textFill>
              </w:rPr>
            </w:pPr>
          </w:p>
        </w:tc>
      </w:tr>
      <w:tr w14:paraId="5731E3AE">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785" w:type="pct"/>
            <w:tcBorders>
              <w:top w:val="single" w:color="auto" w:sz="6" w:space="0"/>
              <w:left w:val="single" w:color="auto" w:sz="6" w:space="0"/>
              <w:bottom w:val="single" w:color="auto" w:sz="6" w:space="0"/>
              <w:right w:val="single" w:color="auto" w:sz="6" w:space="0"/>
              <w:tl2br w:val="nil"/>
              <w:tr2bl w:val="nil"/>
            </w:tcBorders>
            <w:vAlign w:val="center"/>
          </w:tcPr>
          <w:p w14:paraId="3F4209BE">
            <w:pPr>
              <w:spacing w:before="156" w:beforeLines="50" w:after="156" w:afterLines="5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3</w:t>
            </w:r>
          </w:p>
        </w:tc>
        <w:tc>
          <w:tcPr>
            <w:tcW w:w="4215" w:type="pct"/>
            <w:tcBorders>
              <w:top w:val="single" w:color="auto" w:sz="6" w:space="0"/>
              <w:left w:val="nil"/>
              <w:bottom w:val="single" w:color="auto" w:sz="6" w:space="0"/>
              <w:right w:val="single" w:color="auto" w:sz="6" w:space="0"/>
              <w:tl2br w:val="nil"/>
              <w:tr2bl w:val="nil"/>
            </w:tcBorders>
            <w:vAlign w:val="center"/>
          </w:tcPr>
          <w:p w14:paraId="112A3685">
            <w:pPr>
              <w:spacing w:before="156" w:beforeLines="50" w:after="156" w:afterLines="50"/>
              <w:jc w:val="center"/>
              <w:rPr>
                <w:color w:val="000000" w:themeColor="text1"/>
                <w:sz w:val="20"/>
                <w:szCs w:val="20"/>
                <w14:textFill>
                  <w14:solidFill>
                    <w14:schemeClr w14:val="tx1"/>
                  </w14:solidFill>
                </w14:textFill>
              </w:rPr>
            </w:pPr>
          </w:p>
        </w:tc>
      </w:tr>
    </w:tbl>
    <w:p w14:paraId="70B4327D">
      <w:pPr>
        <w:pStyle w:val="28"/>
        <w:spacing w:after="0" w:line="360" w:lineRule="auto"/>
        <w:ind w:left="0" w:leftChars="0" w:firstLine="402"/>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注：供应商完成本项目需要采购人配合或提供的条件必须在上表列出，否则将视为供应商同意按现有条件完成本项目。如上表所列附加条件含有采购人不能接受的，将被视为无效响应。</w:t>
      </w:r>
    </w:p>
    <w:p w14:paraId="6C5379DC">
      <w:pPr>
        <w:pStyle w:val="11"/>
        <w:rPr>
          <w:color w:val="000000" w:themeColor="text1"/>
          <w:sz w:val="20"/>
          <w:szCs w:val="20"/>
          <w14:textFill>
            <w14:solidFill>
              <w14:schemeClr w14:val="tx1"/>
            </w14:solidFill>
          </w14:textFill>
        </w:rPr>
      </w:pPr>
    </w:p>
    <w:p w14:paraId="42DF139E">
      <w:pPr>
        <w:pStyle w:val="37"/>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供应商</w:t>
      </w:r>
      <w:r>
        <w:rPr>
          <w:rFonts w:hint="eastAsia"/>
          <w:color w:val="000000" w:themeColor="text1"/>
          <w:sz w:val="20"/>
          <w:szCs w:val="20"/>
          <w14:textFill>
            <w14:solidFill>
              <w14:schemeClr w14:val="tx1"/>
            </w14:solidFill>
          </w14:textFill>
        </w:rPr>
        <w:t>法定代表人或其授权委托人（签字或盖章）：</w:t>
      </w:r>
      <w:r>
        <w:rPr>
          <w:rFonts w:hint="eastAsia"/>
          <w:color w:val="000000" w:themeColor="text1"/>
          <w:sz w:val="20"/>
          <w:szCs w:val="20"/>
          <w:u w:val="single"/>
          <w14:textFill>
            <w14:solidFill>
              <w14:schemeClr w14:val="tx1"/>
            </w14:solidFill>
          </w14:textFill>
        </w:rPr>
        <w:t xml:space="preserve">                    .</w:t>
      </w:r>
    </w:p>
    <w:p w14:paraId="70CBDC78">
      <w:pPr>
        <w:pStyle w:val="37"/>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33576F50">
      <w:pPr>
        <w:pStyle w:val="37"/>
        <w:autoSpaceDN/>
        <w:spacing w:line="480" w:lineRule="auto"/>
        <w:ind w:firstLine="4134" w:firstLineChars="2067"/>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7C082681">
      <w:pPr>
        <w:pStyle w:val="11"/>
        <w:rPr>
          <w:color w:val="000000" w:themeColor="text1"/>
          <w14:textFill>
            <w14:solidFill>
              <w14:schemeClr w14:val="tx1"/>
            </w14:solidFill>
          </w14:textFill>
        </w:rPr>
      </w:pPr>
    </w:p>
    <w:p w14:paraId="7A776855">
      <w:pPr>
        <w:rPr>
          <w:b/>
          <w:bCs/>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br w:type="page"/>
      </w:r>
    </w:p>
    <w:p w14:paraId="2F2F685C">
      <w:pPr>
        <w:pStyle w:val="3"/>
        <w:keepLines w:val="0"/>
        <w:numPr>
          <w:ilvl w:val="0"/>
          <w:numId w:val="21"/>
        </w:numPr>
        <w:spacing w:before="120" w:after="120"/>
        <w:ind w:left="720" w:hanging="720"/>
        <w:rPr>
          <w:rFonts w:hint="eastAsia" w:ascii="宋体" w:eastAsia="宋体"/>
          <w:color w:val="000000" w:themeColor="text1"/>
          <w:sz w:val="24"/>
          <w:szCs w:val="24"/>
          <w14:textFill>
            <w14:solidFill>
              <w14:schemeClr w14:val="tx1"/>
            </w14:solidFill>
          </w14:textFill>
        </w:rPr>
        <w:sectPr>
          <w:pgSz w:w="11906" w:h="16838"/>
          <w:pgMar w:top="1440" w:right="1080" w:bottom="1440" w:left="1080" w:header="426" w:footer="992" w:gutter="0"/>
          <w:cols w:space="720" w:num="1"/>
          <w:titlePg/>
          <w:docGrid w:type="lines" w:linePitch="312" w:charSpace="0"/>
        </w:sectPr>
      </w:pPr>
      <w:bookmarkStart w:id="222" w:name="_Toc202820352"/>
    </w:p>
    <w:p w14:paraId="37BD33C3">
      <w:pPr>
        <w:pStyle w:val="3"/>
        <w:keepLines w:val="0"/>
        <w:numPr>
          <w:ilvl w:val="0"/>
          <w:numId w:val="21"/>
        </w:numPr>
        <w:spacing w:before="120" w:after="120"/>
        <w:ind w:left="720" w:hanging="720"/>
        <w:rPr>
          <w:rFonts w:hint="eastAsia" w:ascii="宋体" w:eastAsia="宋体"/>
          <w:color w:val="000000" w:themeColor="text1"/>
          <w:sz w:val="24"/>
          <w:szCs w:val="24"/>
          <w14:textFill>
            <w14:solidFill>
              <w14:schemeClr w14:val="tx1"/>
            </w14:solidFill>
          </w14:textFill>
        </w:rPr>
      </w:pPr>
      <w:bookmarkStart w:id="223" w:name="_Toc524"/>
      <w:r>
        <w:rPr>
          <w:rFonts w:hint="eastAsia" w:ascii="宋体" w:eastAsia="宋体"/>
          <w:color w:val="000000" w:themeColor="text1"/>
          <w:sz w:val="24"/>
          <w:szCs w:val="24"/>
          <w14:textFill>
            <w14:solidFill>
              <w14:schemeClr w14:val="tx1"/>
            </w14:solidFill>
          </w14:textFill>
        </w:rPr>
        <w:t>商务</w:t>
      </w:r>
      <w:bookmarkEnd w:id="222"/>
      <w:r>
        <w:rPr>
          <w:rFonts w:hint="eastAsia" w:ascii="宋体" w:eastAsia="宋体"/>
          <w:color w:val="000000" w:themeColor="text1"/>
          <w:sz w:val="24"/>
          <w:szCs w:val="24"/>
          <w14:textFill>
            <w14:solidFill>
              <w14:schemeClr w14:val="tx1"/>
            </w14:solidFill>
          </w14:textFill>
        </w:rPr>
        <w:t>条款响应表</w:t>
      </w:r>
      <w:bookmarkEnd w:id="223"/>
    </w:p>
    <w:p w14:paraId="4C79B2DA">
      <w:pPr>
        <w:jc w:val="center"/>
        <w:rPr>
          <w:b/>
          <w:color w:val="000000" w:themeColor="text1"/>
          <w:sz w:val="20"/>
          <w:szCs w:val="20"/>
          <w14:textFill>
            <w14:solidFill>
              <w14:schemeClr w14:val="tx1"/>
            </w14:solidFill>
          </w14:textFill>
        </w:rPr>
      </w:pPr>
      <w:r>
        <w:rPr>
          <w:rFonts w:hint="eastAsia"/>
          <w:b/>
          <w:color w:val="000000" w:themeColor="text1"/>
          <w:sz w:val="20"/>
          <w:szCs w:val="20"/>
          <w14:textFill>
            <w14:solidFill>
              <w14:schemeClr w14:val="tx1"/>
            </w14:solidFill>
          </w14:textFill>
        </w:rPr>
        <w:t>商务条款响应表</w:t>
      </w:r>
    </w:p>
    <w:p w14:paraId="733ABBDE">
      <w:pPr>
        <w:rPr>
          <w:color w:val="000000" w:themeColor="text1"/>
          <w:sz w:val="20"/>
          <w:szCs w:val="20"/>
          <w14:textFill>
            <w14:solidFill>
              <w14:schemeClr w14:val="tx1"/>
            </w14:solidFill>
          </w14:textFill>
        </w:rPr>
      </w:pPr>
      <w:r>
        <w:rPr>
          <w:rFonts w:hint="eastAsia"/>
          <w:bCs/>
          <w:color w:val="000000" w:themeColor="text1"/>
          <w:sz w:val="20"/>
          <w:szCs w:val="20"/>
          <w14:textFill>
            <w14:solidFill>
              <w14:schemeClr w14:val="tx1"/>
            </w14:solidFill>
          </w14:textFill>
        </w:rPr>
        <w:t>项目编号：_______________</w:t>
      </w:r>
    </w:p>
    <w:p w14:paraId="2C6BE687">
      <w:pPr>
        <w:rPr>
          <w:bCs/>
          <w:color w:val="000000" w:themeColor="text1"/>
          <w:sz w:val="20"/>
          <w:szCs w:val="20"/>
          <w14:textFill>
            <w14:solidFill>
              <w14:schemeClr w14:val="tx1"/>
            </w14:solidFill>
          </w14:textFill>
        </w:rPr>
      </w:pPr>
      <w:r>
        <w:rPr>
          <w:rFonts w:hint="eastAsia"/>
          <w:bCs/>
          <w:color w:val="000000" w:themeColor="text1"/>
          <w:sz w:val="20"/>
          <w:szCs w:val="20"/>
          <w14:textFill>
            <w14:solidFill>
              <w14:schemeClr w14:val="tx1"/>
            </w14:solidFill>
          </w14:textFill>
        </w:rPr>
        <w:t>项目名称：_______________</w:t>
      </w:r>
    </w:p>
    <w:tbl>
      <w:tblPr>
        <w:tblStyle w:val="29"/>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836"/>
        <w:gridCol w:w="4816"/>
        <w:gridCol w:w="1929"/>
        <w:gridCol w:w="1494"/>
        <w:gridCol w:w="887"/>
      </w:tblGrid>
      <w:tr w14:paraId="0B4474F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l2br w:val="nil"/>
              <w:tr2bl w:val="nil"/>
            </w:tcBorders>
            <w:vAlign w:val="center"/>
          </w:tcPr>
          <w:p w14:paraId="4ED5265F">
            <w:pPr>
              <w:pStyle w:val="6"/>
              <w:autoSpaceDN/>
              <w:ind w:firstLine="0"/>
              <w:jc w:val="center"/>
              <w:rPr>
                <w:rFonts w:eastAsia="宋体"/>
                <w:b/>
                <w:color w:val="000000" w:themeColor="text1"/>
                <w:sz w:val="20"/>
                <w:szCs w:val="20"/>
                <w14:textFill>
                  <w14:solidFill>
                    <w14:schemeClr w14:val="tx1"/>
                  </w14:solidFill>
                </w14:textFill>
              </w:rPr>
            </w:pPr>
            <w:r>
              <w:rPr>
                <w:rFonts w:hint="eastAsia" w:eastAsia="宋体"/>
                <w:b/>
                <w:color w:val="000000" w:themeColor="text1"/>
                <w:sz w:val="20"/>
                <w:szCs w:val="20"/>
                <w14:textFill>
                  <w14:solidFill>
                    <w14:schemeClr w14:val="tx1"/>
                  </w14:solidFill>
                </w14:textFill>
              </w:rPr>
              <w:t>序号</w:t>
            </w:r>
          </w:p>
        </w:tc>
        <w:tc>
          <w:tcPr>
            <w:tcW w:w="2417" w:type="pct"/>
            <w:tcBorders>
              <w:top w:val="single" w:color="auto" w:sz="4" w:space="0"/>
              <w:left w:val="single" w:color="auto" w:sz="4" w:space="0"/>
              <w:bottom w:val="single" w:color="auto" w:sz="4" w:space="0"/>
              <w:right w:val="single" w:color="auto" w:sz="4" w:space="0"/>
              <w:tl2br w:val="nil"/>
              <w:tr2bl w:val="nil"/>
            </w:tcBorders>
            <w:vAlign w:val="center"/>
          </w:tcPr>
          <w:p w14:paraId="4894CAA4">
            <w:pPr>
              <w:pStyle w:val="6"/>
              <w:autoSpaceDN/>
              <w:ind w:firstLine="0"/>
              <w:jc w:val="center"/>
              <w:rPr>
                <w:rFonts w:eastAsia="宋体"/>
                <w:b/>
                <w:color w:val="000000" w:themeColor="text1"/>
                <w:sz w:val="20"/>
                <w:szCs w:val="20"/>
                <w14:textFill>
                  <w14:solidFill>
                    <w14:schemeClr w14:val="tx1"/>
                  </w14:solidFill>
                </w14:textFill>
              </w:rPr>
            </w:pPr>
            <w:r>
              <w:rPr>
                <w:rFonts w:hint="eastAsia" w:eastAsia="宋体"/>
                <w:b/>
                <w:color w:val="000000" w:themeColor="text1"/>
                <w:sz w:val="20"/>
                <w:szCs w:val="20"/>
                <w14:textFill>
                  <w14:solidFill>
                    <w14:schemeClr w14:val="tx1"/>
                  </w14:solidFill>
                </w14:textFill>
              </w:rPr>
              <w:t>磋商文件规定的要求</w:t>
            </w:r>
          </w:p>
        </w:tc>
        <w:tc>
          <w:tcPr>
            <w:tcW w:w="968" w:type="pct"/>
            <w:tcBorders>
              <w:top w:val="single" w:color="auto" w:sz="4" w:space="0"/>
              <w:left w:val="single" w:color="auto" w:sz="4" w:space="0"/>
              <w:bottom w:val="single" w:color="auto" w:sz="4" w:space="0"/>
              <w:right w:val="single" w:color="auto" w:sz="4" w:space="0"/>
              <w:tl2br w:val="nil"/>
              <w:tr2bl w:val="nil"/>
            </w:tcBorders>
            <w:vAlign w:val="center"/>
          </w:tcPr>
          <w:p w14:paraId="1979641E">
            <w:pPr>
              <w:pStyle w:val="6"/>
              <w:autoSpaceDN/>
              <w:ind w:firstLine="0"/>
              <w:jc w:val="center"/>
              <w:rPr>
                <w:rFonts w:eastAsia="宋体"/>
                <w:b/>
                <w:color w:val="000000" w:themeColor="text1"/>
                <w:sz w:val="20"/>
                <w:szCs w:val="20"/>
                <w14:textFill>
                  <w14:solidFill>
                    <w14:schemeClr w14:val="tx1"/>
                  </w14:solidFill>
                </w14:textFill>
              </w:rPr>
            </w:pPr>
            <w:r>
              <w:rPr>
                <w:rFonts w:hint="eastAsia" w:eastAsia="宋体"/>
                <w:b/>
                <w:color w:val="000000" w:themeColor="text1"/>
                <w:sz w:val="20"/>
                <w:szCs w:val="20"/>
                <w14:textFill>
                  <w14:solidFill>
                    <w14:schemeClr w14:val="tx1"/>
                  </w14:solidFill>
                </w14:textFill>
              </w:rPr>
              <w:t>供应商响应情况</w:t>
            </w:r>
          </w:p>
        </w:tc>
        <w:tc>
          <w:tcPr>
            <w:tcW w:w="750" w:type="pct"/>
            <w:tcBorders>
              <w:top w:val="single" w:color="auto" w:sz="4" w:space="0"/>
              <w:left w:val="single" w:color="auto" w:sz="4" w:space="0"/>
              <w:bottom w:val="single" w:color="auto" w:sz="4" w:space="0"/>
              <w:right w:val="single" w:color="auto" w:sz="4" w:space="0"/>
              <w:tl2br w:val="nil"/>
              <w:tr2bl w:val="nil"/>
            </w:tcBorders>
            <w:vAlign w:val="center"/>
          </w:tcPr>
          <w:p w14:paraId="3A58F66A">
            <w:pPr>
              <w:pStyle w:val="6"/>
              <w:autoSpaceDN/>
              <w:ind w:firstLine="0"/>
              <w:jc w:val="center"/>
              <w:rPr>
                <w:rFonts w:eastAsia="宋体"/>
                <w:b/>
                <w:color w:val="000000" w:themeColor="text1"/>
                <w:sz w:val="20"/>
                <w:szCs w:val="20"/>
                <w14:textFill>
                  <w14:solidFill>
                    <w14:schemeClr w14:val="tx1"/>
                  </w14:solidFill>
                </w14:textFill>
              </w:rPr>
            </w:pPr>
            <w:r>
              <w:rPr>
                <w:rFonts w:hint="eastAsia" w:eastAsia="宋体"/>
                <w:b/>
                <w:color w:val="000000" w:themeColor="text1"/>
                <w:sz w:val="20"/>
                <w:szCs w:val="20"/>
                <w14:textFill>
                  <w14:solidFill>
                    <w14:schemeClr w14:val="tx1"/>
                  </w14:solidFill>
                </w14:textFill>
              </w:rPr>
              <w:t>偏离情况</w:t>
            </w:r>
          </w:p>
        </w:tc>
        <w:tc>
          <w:tcPr>
            <w:tcW w:w="445" w:type="pct"/>
            <w:tcBorders>
              <w:top w:val="single" w:color="auto" w:sz="4" w:space="0"/>
              <w:left w:val="single" w:color="auto" w:sz="4" w:space="0"/>
              <w:bottom w:val="single" w:color="auto" w:sz="4" w:space="0"/>
              <w:right w:val="single" w:color="auto" w:sz="4" w:space="0"/>
              <w:tl2br w:val="nil"/>
              <w:tr2bl w:val="nil"/>
            </w:tcBorders>
            <w:vAlign w:val="center"/>
          </w:tcPr>
          <w:p w14:paraId="2D59F3E8">
            <w:pPr>
              <w:pStyle w:val="6"/>
              <w:autoSpaceDN/>
              <w:ind w:firstLine="0"/>
              <w:jc w:val="center"/>
              <w:rPr>
                <w:rFonts w:eastAsia="宋体"/>
                <w:b/>
                <w:color w:val="000000" w:themeColor="text1"/>
                <w:sz w:val="20"/>
                <w:szCs w:val="20"/>
                <w14:textFill>
                  <w14:solidFill>
                    <w14:schemeClr w14:val="tx1"/>
                  </w14:solidFill>
                </w14:textFill>
              </w:rPr>
            </w:pPr>
            <w:r>
              <w:rPr>
                <w:rFonts w:hint="eastAsia" w:eastAsia="宋体"/>
                <w:b/>
                <w:color w:val="000000" w:themeColor="text1"/>
                <w:sz w:val="20"/>
                <w:szCs w:val="20"/>
                <w14:textFill>
                  <w14:solidFill>
                    <w14:schemeClr w14:val="tx1"/>
                  </w14:solidFill>
                </w14:textFill>
              </w:rPr>
              <w:t>备注</w:t>
            </w:r>
          </w:p>
        </w:tc>
      </w:tr>
      <w:tr w14:paraId="2B3757DF">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l2br w:val="nil"/>
              <w:tr2bl w:val="nil"/>
            </w:tcBorders>
            <w:vAlign w:val="center"/>
          </w:tcPr>
          <w:p w14:paraId="5DEC6E49">
            <w:pPr>
              <w:pStyle w:val="40"/>
              <w:numPr>
                <w:ilvl w:val="0"/>
                <w:numId w:val="24"/>
              </w:numPr>
              <w:jc w:val="center"/>
              <w:rPr>
                <w:rFonts w:hint="eastAsia"/>
                <w:bCs/>
                <w:color w:val="000000" w:themeColor="text1"/>
                <w:sz w:val="20"/>
                <w:szCs w:val="20"/>
                <w14:textFill>
                  <w14:solidFill>
                    <w14:schemeClr w14:val="tx1"/>
                  </w14:solidFill>
                </w14:textFill>
              </w:rPr>
            </w:pPr>
          </w:p>
        </w:tc>
        <w:tc>
          <w:tcPr>
            <w:tcW w:w="2417" w:type="pct"/>
            <w:tcBorders>
              <w:top w:val="single" w:color="auto" w:sz="4" w:space="0"/>
              <w:left w:val="single" w:color="auto" w:sz="4" w:space="0"/>
              <w:bottom w:val="single" w:color="auto" w:sz="4" w:space="0"/>
              <w:right w:val="single" w:color="auto" w:sz="4" w:space="0"/>
              <w:tl2br w:val="nil"/>
              <w:tr2bl w:val="nil"/>
            </w:tcBorders>
            <w:vAlign w:val="center"/>
          </w:tcPr>
          <w:p w14:paraId="124C25E4">
            <w:pPr>
              <w:rPr>
                <w:bCs/>
                <w:color w:val="000000" w:themeColor="text1"/>
                <w:sz w:val="20"/>
                <w:szCs w:val="20"/>
                <w14:textFill>
                  <w14:solidFill>
                    <w14:schemeClr w14:val="tx1"/>
                  </w14:solidFill>
                </w14:textFill>
              </w:rPr>
            </w:pPr>
          </w:p>
        </w:tc>
        <w:tc>
          <w:tcPr>
            <w:tcW w:w="968" w:type="pct"/>
            <w:tcBorders>
              <w:top w:val="single" w:color="auto" w:sz="4" w:space="0"/>
              <w:left w:val="single" w:color="auto" w:sz="4" w:space="0"/>
              <w:bottom w:val="single" w:color="auto" w:sz="4" w:space="0"/>
              <w:right w:val="single" w:color="auto" w:sz="4" w:space="0"/>
              <w:tl2br w:val="nil"/>
              <w:tr2bl w:val="nil"/>
            </w:tcBorders>
            <w:vAlign w:val="center"/>
          </w:tcPr>
          <w:p w14:paraId="225DED09">
            <w:pPr>
              <w:pStyle w:val="11"/>
              <w:jc w:val="center"/>
              <w:rPr>
                <w:bCs/>
                <w:color w:val="000000" w:themeColor="text1"/>
                <w:sz w:val="20"/>
                <w:szCs w:val="20"/>
                <w14:textFill>
                  <w14:solidFill>
                    <w14:schemeClr w14:val="tx1"/>
                  </w14:solidFill>
                </w14:textFill>
              </w:rPr>
            </w:pPr>
          </w:p>
        </w:tc>
        <w:tc>
          <w:tcPr>
            <w:tcW w:w="750" w:type="pct"/>
            <w:tcBorders>
              <w:top w:val="single" w:color="auto" w:sz="4" w:space="0"/>
              <w:left w:val="single" w:color="auto" w:sz="4" w:space="0"/>
              <w:bottom w:val="single" w:color="auto" w:sz="4" w:space="0"/>
              <w:right w:val="single" w:color="auto" w:sz="4" w:space="0"/>
              <w:tl2br w:val="nil"/>
              <w:tr2bl w:val="nil"/>
            </w:tcBorders>
            <w:vAlign w:val="center"/>
          </w:tcPr>
          <w:p w14:paraId="22DD41F3">
            <w:pPr>
              <w:pStyle w:val="11"/>
              <w:jc w:val="center"/>
              <w:rPr>
                <w:bCs/>
                <w:color w:val="000000" w:themeColor="text1"/>
                <w:sz w:val="20"/>
                <w:szCs w:val="20"/>
                <w14:textFill>
                  <w14:solidFill>
                    <w14:schemeClr w14:val="tx1"/>
                  </w14:solidFill>
                </w14:textFill>
              </w:rPr>
            </w:pPr>
          </w:p>
        </w:tc>
        <w:tc>
          <w:tcPr>
            <w:tcW w:w="445" w:type="pct"/>
            <w:tcBorders>
              <w:top w:val="single" w:color="auto" w:sz="4" w:space="0"/>
              <w:left w:val="single" w:color="auto" w:sz="4" w:space="0"/>
              <w:bottom w:val="single" w:color="auto" w:sz="4" w:space="0"/>
              <w:right w:val="single" w:color="auto" w:sz="4" w:space="0"/>
              <w:tl2br w:val="nil"/>
              <w:tr2bl w:val="nil"/>
            </w:tcBorders>
            <w:vAlign w:val="center"/>
          </w:tcPr>
          <w:p w14:paraId="4B4CBEC9">
            <w:pPr>
              <w:jc w:val="center"/>
              <w:rPr>
                <w:color w:val="000000" w:themeColor="text1"/>
                <w:sz w:val="20"/>
                <w:szCs w:val="20"/>
                <w14:textFill>
                  <w14:solidFill>
                    <w14:schemeClr w14:val="tx1"/>
                  </w14:solidFill>
                </w14:textFill>
              </w:rPr>
            </w:pPr>
          </w:p>
        </w:tc>
      </w:tr>
      <w:tr w14:paraId="6C148A61">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l2br w:val="nil"/>
              <w:tr2bl w:val="nil"/>
            </w:tcBorders>
            <w:vAlign w:val="center"/>
          </w:tcPr>
          <w:p w14:paraId="57CA9A23">
            <w:pPr>
              <w:pStyle w:val="40"/>
              <w:numPr>
                <w:ilvl w:val="0"/>
                <w:numId w:val="24"/>
              </w:numPr>
              <w:jc w:val="center"/>
              <w:rPr>
                <w:rFonts w:hint="eastAsia"/>
                <w:bCs/>
                <w:color w:val="000000" w:themeColor="text1"/>
                <w:sz w:val="20"/>
                <w:szCs w:val="20"/>
                <w14:textFill>
                  <w14:solidFill>
                    <w14:schemeClr w14:val="tx1"/>
                  </w14:solidFill>
                </w14:textFill>
              </w:rPr>
            </w:pPr>
          </w:p>
        </w:tc>
        <w:tc>
          <w:tcPr>
            <w:tcW w:w="2417" w:type="pct"/>
            <w:tcBorders>
              <w:top w:val="single" w:color="auto" w:sz="4" w:space="0"/>
              <w:left w:val="single" w:color="auto" w:sz="4" w:space="0"/>
              <w:bottom w:val="single" w:color="auto" w:sz="4" w:space="0"/>
              <w:right w:val="single" w:color="auto" w:sz="4" w:space="0"/>
              <w:tl2br w:val="nil"/>
              <w:tr2bl w:val="nil"/>
            </w:tcBorders>
            <w:vAlign w:val="center"/>
          </w:tcPr>
          <w:p w14:paraId="0E56B65D">
            <w:pPr>
              <w:rPr>
                <w:bCs/>
                <w:color w:val="000000" w:themeColor="text1"/>
                <w:sz w:val="20"/>
                <w:szCs w:val="20"/>
                <w14:textFill>
                  <w14:solidFill>
                    <w14:schemeClr w14:val="tx1"/>
                  </w14:solidFill>
                </w14:textFill>
              </w:rPr>
            </w:pPr>
          </w:p>
        </w:tc>
        <w:tc>
          <w:tcPr>
            <w:tcW w:w="968" w:type="pct"/>
            <w:tcBorders>
              <w:top w:val="single" w:color="auto" w:sz="4" w:space="0"/>
              <w:left w:val="single" w:color="auto" w:sz="4" w:space="0"/>
              <w:bottom w:val="single" w:color="auto" w:sz="4" w:space="0"/>
              <w:right w:val="single" w:color="auto" w:sz="4" w:space="0"/>
              <w:tl2br w:val="nil"/>
              <w:tr2bl w:val="nil"/>
            </w:tcBorders>
            <w:vAlign w:val="center"/>
          </w:tcPr>
          <w:p w14:paraId="4B929681">
            <w:pPr>
              <w:pStyle w:val="11"/>
              <w:jc w:val="center"/>
              <w:rPr>
                <w:bCs/>
                <w:color w:val="000000" w:themeColor="text1"/>
                <w:sz w:val="20"/>
                <w:szCs w:val="20"/>
                <w14:textFill>
                  <w14:solidFill>
                    <w14:schemeClr w14:val="tx1"/>
                  </w14:solidFill>
                </w14:textFill>
              </w:rPr>
            </w:pPr>
          </w:p>
        </w:tc>
        <w:tc>
          <w:tcPr>
            <w:tcW w:w="750" w:type="pct"/>
            <w:tcBorders>
              <w:top w:val="single" w:color="auto" w:sz="4" w:space="0"/>
              <w:left w:val="single" w:color="auto" w:sz="4" w:space="0"/>
              <w:bottom w:val="single" w:color="auto" w:sz="4" w:space="0"/>
              <w:right w:val="single" w:color="auto" w:sz="4" w:space="0"/>
              <w:tl2br w:val="nil"/>
              <w:tr2bl w:val="nil"/>
            </w:tcBorders>
            <w:vAlign w:val="center"/>
          </w:tcPr>
          <w:p w14:paraId="439B0213">
            <w:pPr>
              <w:pStyle w:val="11"/>
              <w:jc w:val="center"/>
              <w:rPr>
                <w:bCs/>
                <w:color w:val="000000" w:themeColor="text1"/>
                <w:sz w:val="20"/>
                <w:szCs w:val="20"/>
                <w14:textFill>
                  <w14:solidFill>
                    <w14:schemeClr w14:val="tx1"/>
                  </w14:solidFill>
                </w14:textFill>
              </w:rPr>
            </w:pPr>
          </w:p>
        </w:tc>
        <w:tc>
          <w:tcPr>
            <w:tcW w:w="445" w:type="pct"/>
            <w:tcBorders>
              <w:top w:val="single" w:color="auto" w:sz="4" w:space="0"/>
              <w:left w:val="single" w:color="auto" w:sz="4" w:space="0"/>
              <w:bottom w:val="single" w:color="auto" w:sz="4" w:space="0"/>
              <w:right w:val="single" w:color="auto" w:sz="4" w:space="0"/>
              <w:tl2br w:val="nil"/>
              <w:tr2bl w:val="nil"/>
            </w:tcBorders>
            <w:vAlign w:val="center"/>
          </w:tcPr>
          <w:p w14:paraId="5E6DF046">
            <w:pPr>
              <w:jc w:val="center"/>
              <w:rPr>
                <w:color w:val="000000" w:themeColor="text1"/>
                <w:sz w:val="20"/>
                <w:szCs w:val="20"/>
                <w14:textFill>
                  <w14:solidFill>
                    <w14:schemeClr w14:val="tx1"/>
                  </w14:solidFill>
                </w14:textFill>
              </w:rPr>
            </w:pPr>
          </w:p>
        </w:tc>
      </w:tr>
      <w:tr w14:paraId="77E0B0B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l2br w:val="nil"/>
              <w:tr2bl w:val="nil"/>
            </w:tcBorders>
            <w:vAlign w:val="center"/>
          </w:tcPr>
          <w:p w14:paraId="44659C1D">
            <w:pPr>
              <w:pStyle w:val="40"/>
              <w:numPr>
                <w:ilvl w:val="0"/>
                <w:numId w:val="24"/>
              </w:numPr>
              <w:jc w:val="center"/>
              <w:rPr>
                <w:rFonts w:hint="eastAsia"/>
                <w:bCs/>
                <w:color w:val="000000" w:themeColor="text1"/>
                <w:sz w:val="20"/>
                <w:szCs w:val="20"/>
                <w14:textFill>
                  <w14:solidFill>
                    <w14:schemeClr w14:val="tx1"/>
                  </w14:solidFill>
                </w14:textFill>
              </w:rPr>
            </w:pPr>
          </w:p>
        </w:tc>
        <w:tc>
          <w:tcPr>
            <w:tcW w:w="2417" w:type="pct"/>
            <w:tcBorders>
              <w:top w:val="single" w:color="auto" w:sz="4" w:space="0"/>
              <w:left w:val="single" w:color="auto" w:sz="4" w:space="0"/>
              <w:bottom w:val="single" w:color="auto" w:sz="4" w:space="0"/>
              <w:right w:val="single" w:color="auto" w:sz="4" w:space="0"/>
              <w:tl2br w:val="nil"/>
              <w:tr2bl w:val="nil"/>
            </w:tcBorders>
            <w:vAlign w:val="center"/>
          </w:tcPr>
          <w:p w14:paraId="3976B93C">
            <w:pPr>
              <w:rPr>
                <w:bCs/>
                <w:color w:val="000000" w:themeColor="text1"/>
                <w:sz w:val="20"/>
                <w:szCs w:val="20"/>
                <w14:textFill>
                  <w14:solidFill>
                    <w14:schemeClr w14:val="tx1"/>
                  </w14:solidFill>
                </w14:textFill>
              </w:rPr>
            </w:pPr>
          </w:p>
        </w:tc>
        <w:tc>
          <w:tcPr>
            <w:tcW w:w="968" w:type="pct"/>
            <w:tcBorders>
              <w:top w:val="single" w:color="auto" w:sz="4" w:space="0"/>
              <w:left w:val="single" w:color="auto" w:sz="4" w:space="0"/>
              <w:bottom w:val="single" w:color="auto" w:sz="4" w:space="0"/>
              <w:right w:val="single" w:color="auto" w:sz="4" w:space="0"/>
              <w:tl2br w:val="nil"/>
              <w:tr2bl w:val="nil"/>
            </w:tcBorders>
            <w:vAlign w:val="center"/>
          </w:tcPr>
          <w:p w14:paraId="58ACE16D">
            <w:pPr>
              <w:pStyle w:val="11"/>
              <w:jc w:val="center"/>
              <w:rPr>
                <w:bCs/>
                <w:color w:val="000000" w:themeColor="text1"/>
                <w:sz w:val="20"/>
                <w:szCs w:val="20"/>
                <w14:textFill>
                  <w14:solidFill>
                    <w14:schemeClr w14:val="tx1"/>
                  </w14:solidFill>
                </w14:textFill>
              </w:rPr>
            </w:pPr>
          </w:p>
        </w:tc>
        <w:tc>
          <w:tcPr>
            <w:tcW w:w="750" w:type="pct"/>
            <w:tcBorders>
              <w:top w:val="single" w:color="auto" w:sz="4" w:space="0"/>
              <w:left w:val="single" w:color="auto" w:sz="4" w:space="0"/>
              <w:bottom w:val="single" w:color="auto" w:sz="4" w:space="0"/>
              <w:right w:val="single" w:color="auto" w:sz="4" w:space="0"/>
              <w:tl2br w:val="nil"/>
              <w:tr2bl w:val="nil"/>
            </w:tcBorders>
            <w:vAlign w:val="center"/>
          </w:tcPr>
          <w:p w14:paraId="567E5475">
            <w:pPr>
              <w:pStyle w:val="11"/>
              <w:jc w:val="center"/>
              <w:rPr>
                <w:bCs/>
                <w:color w:val="000000" w:themeColor="text1"/>
                <w:sz w:val="20"/>
                <w:szCs w:val="20"/>
                <w14:textFill>
                  <w14:solidFill>
                    <w14:schemeClr w14:val="tx1"/>
                  </w14:solidFill>
                </w14:textFill>
              </w:rPr>
            </w:pPr>
          </w:p>
        </w:tc>
        <w:tc>
          <w:tcPr>
            <w:tcW w:w="445" w:type="pct"/>
            <w:tcBorders>
              <w:top w:val="single" w:color="auto" w:sz="4" w:space="0"/>
              <w:left w:val="single" w:color="auto" w:sz="4" w:space="0"/>
              <w:bottom w:val="single" w:color="auto" w:sz="4" w:space="0"/>
              <w:right w:val="single" w:color="auto" w:sz="4" w:space="0"/>
              <w:tl2br w:val="nil"/>
              <w:tr2bl w:val="nil"/>
            </w:tcBorders>
            <w:vAlign w:val="center"/>
          </w:tcPr>
          <w:p w14:paraId="6304BBE1">
            <w:pPr>
              <w:jc w:val="center"/>
              <w:rPr>
                <w:color w:val="000000" w:themeColor="text1"/>
                <w:sz w:val="20"/>
                <w:szCs w:val="20"/>
                <w14:textFill>
                  <w14:solidFill>
                    <w14:schemeClr w14:val="tx1"/>
                  </w14:solidFill>
                </w14:textFill>
              </w:rPr>
            </w:pPr>
          </w:p>
        </w:tc>
      </w:tr>
      <w:tr w14:paraId="794FA53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l2br w:val="nil"/>
              <w:tr2bl w:val="nil"/>
            </w:tcBorders>
            <w:vAlign w:val="center"/>
          </w:tcPr>
          <w:p w14:paraId="5D512B30">
            <w:pPr>
              <w:jc w:val="center"/>
              <w:rPr>
                <w:bCs/>
                <w:color w:val="000000" w:themeColor="text1"/>
                <w:sz w:val="20"/>
                <w:szCs w:val="20"/>
                <w14:textFill>
                  <w14:solidFill>
                    <w14:schemeClr w14:val="tx1"/>
                  </w14:solidFill>
                </w14:textFill>
              </w:rPr>
            </w:pPr>
            <w:r>
              <w:rPr>
                <w:rFonts w:hint="eastAsia"/>
                <w:bCs/>
                <w:color w:val="000000" w:themeColor="text1"/>
                <w:sz w:val="20"/>
                <w:szCs w:val="20"/>
                <w14:textFill>
                  <w14:solidFill>
                    <w14:schemeClr w14:val="tx1"/>
                  </w14:solidFill>
                </w14:textFill>
              </w:rPr>
              <w:t>……</w:t>
            </w:r>
          </w:p>
        </w:tc>
        <w:tc>
          <w:tcPr>
            <w:tcW w:w="2417" w:type="pct"/>
            <w:tcBorders>
              <w:top w:val="single" w:color="auto" w:sz="4" w:space="0"/>
              <w:left w:val="single" w:color="auto" w:sz="4" w:space="0"/>
              <w:bottom w:val="single" w:color="auto" w:sz="4" w:space="0"/>
              <w:right w:val="single" w:color="auto" w:sz="4" w:space="0"/>
              <w:tl2br w:val="nil"/>
              <w:tr2bl w:val="nil"/>
            </w:tcBorders>
            <w:vAlign w:val="center"/>
          </w:tcPr>
          <w:p w14:paraId="1CCC8D47">
            <w:pPr>
              <w:rPr>
                <w:bCs/>
                <w:color w:val="000000" w:themeColor="text1"/>
                <w:sz w:val="20"/>
                <w:szCs w:val="20"/>
                <w14:textFill>
                  <w14:solidFill>
                    <w14:schemeClr w14:val="tx1"/>
                  </w14:solidFill>
                </w14:textFill>
              </w:rPr>
            </w:pPr>
          </w:p>
        </w:tc>
        <w:tc>
          <w:tcPr>
            <w:tcW w:w="968" w:type="pct"/>
            <w:tcBorders>
              <w:top w:val="single" w:color="auto" w:sz="4" w:space="0"/>
              <w:left w:val="single" w:color="auto" w:sz="4" w:space="0"/>
              <w:bottom w:val="single" w:color="auto" w:sz="4" w:space="0"/>
              <w:right w:val="single" w:color="auto" w:sz="4" w:space="0"/>
              <w:tl2br w:val="nil"/>
              <w:tr2bl w:val="nil"/>
            </w:tcBorders>
            <w:vAlign w:val="center"/>
          </w:tcPr>
          <w:p w14:paraId="188BA454">
            <w:pPr>
              <w:pStyle w:val="11"/>
              <w:jc w:val="center"/>
              <w:rPr>
                <w:bCs/>
                <w:color w:val="000000" w:themeColor="text1"/>
                <w:sz w:val="20"/>
                <w:szCs w:val="20"/>
                <w14:textFill>
                  <w14:solidFill>
                    <w14:schemeClr w14:val="tx1"/>
                  </w14:solidFill>
                </w14:textFill>
              </w:rPr>
            </w:pPr>
          </w:p>
        </w:tc>
        <w:tc>
          <w:tcPr>
            <w:tcW w:w="750" w:type="pct"/>
            <w:tcBorders>
              <w:top w:val="single" w:color="auto" w:sz="4" w:space="0"/>
              <w:left w:val="single" w:color="auto" w:sz="4" w:space="0"/>
              <w:bottom w:val="single" w:color="auto" w:sz="4" w:space="0"/>
              <w:right w:val="single" w:color="auto" w:sz="4" w:space="0"/>
              <w:tl2br w:val="nil"/>
              <w:tr2bl w:val="nil"/>
            </w:tcBorders>
            <w:vAlign w:val="center"/>
          </w:tcPr>
          <w:p w14:paraId="468F6553">
            <w:pPr>
              <w:pStyle w:val="11"/>
              <w:jc w:val="center"/>
              <w:rPr>
                <w:bCs/>
                <w:color w:val="000000" w:themeColor="text1"/>
                <w:sz w:val="20"/>
                <w:szCs w:val="20"/>
                <w14:textFill>
                  <w14:solidFill>
                    <w14:schemeClr w14:val="tx1"/>
                  </w14:solidFill>
                </w14:textFill>
              </w:rPr>
            </w:pPr>
          </w:p>
        </w:tc>
        <w:tc>
          <w:tcPr>
            <w:tcW w:w="445" w:type="pct"/>
            <w:tcBorders>
              <w:top w:val="single" w:color="auto" w:sz="4" w:space="0"/>
              <w:left w:val="single" w:color="auto" w:sz="4" w:space="0"/>
              <w:bottom w:val="single" w:color="auto" w:sz="4" w:space="0"/>
              <w:right w:val="single" w:color="auto" w:sz="4" w:space="0"/>
              <w:tl2br w:val="nil"/>
              <w:tr2bl w:val="nil"/>
            </w:tcBorders>
            <w:vAlign w:val="center"/>
          </w:tcPr>
          <w:p w14:paraId="75517C18">
            <w:pPr>
              <w:jc w:val="center"/>
              <w:rPr>
                <w:color w:val="000000" w:themeColor="text1"/>
                <w:sz w:val="20"/>
                <w:szCs w:val="20"/>
                <w14:textFill>
                  <w14:solidFill>
                    <w14:schemeClr w14:val="tx1"/>
                  </w14:solidFill>
                </w14:textFill>
              </w:rPr>
            </w:pPr>
          </w:p>
        </w:tc>
      </w:tr>
    </w:tbl>
    <w:p w14:paraId="1088651E">
      <w:pPr>
        <w:pStyle w:val="6"/>
        <w:autoSpaceDN/>
        <w:ind w:firstLine="0"/>
        <w:rPr>
          <w:rFonts w:eastAsia="宋体"/>
          <w:b/>
          <w:bCs/>
          <w:color w:val="000000" w:themeColor="text1"/>
          <w:sz w:val="20"/>
          <w:szCs w:val="20"/>
          <w14:textFill>
            <w14:solidFill>
              <w14:schemeClr w14:val="tx1"/>
            </w14:solidFill>
          </w14:textFill>
        </w:rPr>
      </w:pPr>
      <w:r>
        <w:rPr>
          <w:rFonts w:hint="eastAsia" w:eastAsia="宋体"/>
          <w:b/>
          <w:bCs/>
          <w:color w:val="000000" w:themeColor="text1"/>
          <w:sz w:val="20"/>
          <w:szCs w:val="20"/>
          <w14:textFill>
            <w14:solidFill>
              <w14:schemeClr w14:val="tx1"/>
            </w14:solidFill>
          </w14:textFill>
        </w:rPr>
        <w:t>说明：</w:t>
      </w:r>
    </w:p>
    <w:p w14:paraId="05AE061D">
      <w:pPr>
        <w:pStyle w:val="40"/>
        <w:numPr>
          <w:ilvl w:val="0"/>
          <w:numId w:val="25"/>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供应商需对应磋商文件</w:t>
      </w:r>
      <w:r>
        <w:rPr>
          <w:rFonts w:hint="eastAsia" w:ascii="宋体"/>
          <w:b/>
          <w:bCs/>
          <w:color w:val="000000" w:themeColor="text1"/>
          <w:sz w:val="20"/>
          <w:szCs w:val="20"/>
          <w14:textFill>
            <w14:solidFill>
              <w14:schemeClr w14:val="tx1"/>
            </w14:solidFill>
          </w14:textFill>
        </w:rPr>
        <w:t>第二章采购需求“商务要求”</w:t>
      </w:r>
      <w:r>
        <w:rPr>
          <w:rFonts w:hint="eastAsia" w:ascii="宋体"/>
          <w:color w:val="000000" w:themeColor="text1"/>
          <w:sz w:val="20"/>
          <w:szCs w:val="20"/>
          <w14:textFill>
            <w14:solidFill>
              <w14:schemeClr w14:val="tx1"/>
            </w14:solidFill>
          </w14:textFill>
        </w:rPr>
        <w:t>中所有条款进行</w:t>
      </w:r>
      <w:r>
        <w:rPr>
          <w:rFonts w:hint="eastAsia" w:ascii="宋体"/>
          <w:b/>
          <w:bCs/>
          <w:color w:val="000000" w:themeColor="text1"/>
          <w:sz w:val="20"/>
          <w:szCs w:val="20"/>
          <w14:textFill>
            <w14:solidFill>
              <w14:schemeClr w14:val="tx1"/>
            </w14:solidFill>
          </w14:textFill>
        </w:rPr>
        <w:t>逐条响应或整体响应</w:t>
      </w:r>
      <w:r>
        <w:rPr>
          <w:rFonts w:hint="eastAsia" w:ascii="宋体"/>
          <w:color w:val="000000" w:themeColor="text1"/>
          <w:sz w:val="20"/>
          <w:szCs w:val="20"/>
          <w14:textFill>
            <w14:solidFill>
              <w14:schemeClr w14:val="tx1"/>
            </w14:solidFill>
          </w14:textFill>
        </w:rPr>
        <w:t>，并按要求填写上表。</w:t>
      </w:r>
      <w:r>
        <w:rPr>
          <w:rFonts w:hint="eastAsia" w:ascii="宋体"/>
          <w:b/>
          <w:bCs/>
          <w:color w:val="000000" w:themeColor="text1"/>
          <w:sz w:val="20"/>
          <w:szCs w:val="20"/>
          <w14:textFill>
            <w14:solidFill>
              <w14:schemeClr w14:val="tx1"/>
            </w14:solidFill>
          </w14:textFill>
        </w:rPr>
        <w:t>若要求提供证明材料的，还须提供相应的证明材料，否则视为负偏离。</w:t>
      </w:r>
    </w:p>
    <w:p w14:paraId="240B7635">
      <w:pPr>
        <w:pStyle w:val="40"/>
        <w:numPr>
          <w:ilvl w:val="0"/>
          <w:numId w:val="25"/>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磋商文件规定的要求</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项下填写的内容应与磋商文件</w:t>
      </w:r>
      <w:r>
        <w:rPr>
          <w:rFonts w:hint="eastAsia" w:ascii="宋体"/>
          <w:b/>
          <w:bCs/>
          <w:color w:val="000000" w:themeColor="text1"/>
          <w:sz w:val="20"/>
          <w:szCs w:val="20"/>
          <w14:textFill>
            <w14:solidFill>
              <w14:schemeClr w14:val="tx1"/>
            </w14:solidFill>
          </w14:textFill>
        </w:rPr>
        <w:t>第二章采购需求“商务要求”中的内容</w:t>
      </w:r>
      <w:r>
        <w:rPr>
          <w:rFonts w:hint="eastAsia" w:ascii="宋体"/>
          <w:color w:val="000000" w:themeColor="text1"/>
          <w:sz w:val="20"/>
          <w:szCs w:val="20"/>
          <w14:textFill>
            <w14:solidFill>
              <w14:schemeClr w14:val="tx1"/>
            </w14:solidFill>
          </w14:textFill>
        </w:rPr>
        <w:t>保持一致。若供应商针对所有条款完全满足要求无偏离时，可以进行整体响应，在</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磋商文件规定的要求</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项下填写</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所有商务条款要求</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w:t>
      </w:r>
      <w:r>
        <w:rPr>
          <w:rFonts w:hint="eastAsia" w:ascii="宋体"/>
          <w:b/>
          <w:bCs/>
          <w:color w:val="000000" w:themeColor="text1"/>
          <w:sz w:val="20"/>
          <w:szCs w:val="20"/>
          <w14:textFill>
            <w14:solidFill>
              <w14:schemeClr w14:val="tx1"/>
            </w14:solidFill>
          </w14:textFill>
        </w:rPr>
        <w:t>若供应商存在偏离项时，则所有商务条款需要进行逐条响应。</w:t>
      </w:r>
    </w:p>
    <w:p w14:paraId="0D9A19E6">
      <w:pPr>
        <w:pStyle w:val="40"/>
        <w:numPr>
          <w:ilvl w:val="0"/>
          <w:numId w:val="25"/>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“供应商响应情况”</w:t>
      </w:r>
      <w:r>
        <w:rPr>
          <w:rFonts w:hint="eastAsia" w:ascii="宋体"/>
          <w:bCs/>
          <w:color w:val="000000" w:themeColor="text1"/>
          <w:sz w:val="20"/>
          <w:szCs w:val="20"/>
          <w14:textFill>
            <w14:solidFill>
              <w14:schemeClr w14:val="tx1"/>
            </w14:solidFill>
          </w14:textFill>
        </w:rPr>
        <w:t>项下填写供应商针对“磋商文件规定的要求”的响应数值或内容</w:t>
      </w:r>
      <w:r>
        <w:rPr>
          <w:rFonts w:hint="eastAsia" w:ascii="宋体"/>
          <w:color w:val="000000" w:themeColor="text1"/>
          <w:sz w:val="20"/>
          <w:szCs w:val="20"/>
          <w14:textFill>
            <w14:solidFill>
              <w14:schemeClr w14:val="tx1"/>
            </w14:solidFill>
          </w14:textFill>
        </w:rPr>
        <w:t>；若供应商响应完全满足“磋商文件规定的要求”，也可以填写“完全按照磋商文件规定执行”。</w:t>
      </w:r>
    </w:p>
    <w:p w14:paraId="091788EF">
      <w:pPr>
        <w:pStyle w:val="40"/>
        <w:numPr>
          <w:ilvl w:val="0"/>
          <w:numId w:val="25"/>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w:t>
      </w:r>
      <w:r>
        <w:rPr>
          <w:rFonts w:hint="eastAsia" w:ascii="宋体"/>
          <w:bCs/>
          <w:color w:val="000000" w:themeColor="text1"/>
          <w:sz w:val="20"/>
          <w:szCs w:val="20"/>
          <w14:textFill>
            <w14:solidFill>
              <w14:schemeClr w14:val="tx1"/>
            </w14:solidFill>
          </w14:textFill>
        </w:rPr>
        <w:t>偏离情况</w:t>
      </w:r>
      <w:r>
        <w:rPr>
          <w:rFonts w:hint="eastAsia" w:eastAsia="华文中宋"/>
          <w:bCs/>
          <w:color w:val="000000" w:themeColor="text1"/>
          <w:sz w:val="20"/>
          <w:szCs w:val="20"/>
          <w14:textFill>
            <w14:solidFill>
              <w14:schemeClr w14:val="tx1"/>
            </w14:solidFill>
          </w14:textFill>
        </w:rPr>
        <w:t>”</w:t>
      </w:r>
      <w:r>
        <w:rPr>
          <w:rFonts w:hint="eastAsia" w:ascii="宋体"/>
          <w:bCs/>
          <w:color w:val="000000" w:themeColor="text1"/>
          <w:sz w:val="20"/>
          <w:szCs w:val="20"/>
          <w14:textFill>
            <w14:solidFill>
              <w14:schemeClr w14:val="tx1"/>
            </w14:solidFill>
          </w14:textFill>
        </w:rPr>
        <w:t>项下应填写“正偏离”或“无偏离”或“负偏离”，供应商须真实体现偏离情况。其中“正偏离”是指优于磋商文件规定的要求；“无偏离”是指满足磋商文件规定的要求；“负偏离”是指低于磋商文件规定的要求</w:t>
      </w:r>
      <w:r>
        <w:rPr>
          <w:rFonts w:hint="eastAsia" w:ascii="宋体"/>
          <w:color w:val="000000" w:themeColor="text1"/>
          <w:sz w:val="20"/>
          <w:szCs w:val="20"/>
          <w14:textFill>
            <w14:solidFill>
              <w14:schemeClr w14:val="tx1"/>
            </w14:solidFill>
          </w14:textFill>
        </w:rPr>
        <w:t>。</w:t>
      </w:r>
    </w:p>
    <w:p w14:paraId="7B816B6C">
      <w:pPr>
        <w:pStyle w:val="40"/>
        <w:numPr>
          <w:ilvl w:val="0"/>
          <w:numId w:val="25"/>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“备注”项下填写佐证材料的相关页码或具体偏离内容，不涉及则无需填写。</w:t>
      </w:r>
    </w:p>
    <w:p w14:paraId="1A1C072B">
      <w:pPr>
        <w:pStyle w:val="40"/>
        <w:numPr>
          <w:ilvl w:val="0"/>
          <w:numId w:val="25"/>
        </w:numPr>
        <w:adjustRightInd w:val="0"/>
        <w:snapToGrid w:val="0"/>
        <w:ind w:left="0" w:firstLine="402" w:firstLineChars="200"/>
        <w:rPr>
          <w:rFonts w:hint="eastAsia"/>
          <w:b/>
          <w:color w:val="000000" w:themeColor="text1"/>
          <w:sz w:val="20"/>
          <w:szCs w:val="20"/>
          <w14:textFill>
            <w14:solidFill>
              <w14:schemeClr w14:val="tx1"/>
            </w14:solidFill>
          </w14:textFill>
        </w:rPr>
      </w:pPr>
      <w:r>
        <w:rPr>
          <w:rFonts w:hint="eastAsia" w:ascii="宋体"/>
          <w:b/>
          <w:color w:val="000000" w:themeColor="text1"/>
          <w:sz w:val="20"/>
          <w:szCs w:val="20"/>
          <w14:textFill>
            <w14:solidFill>
              <w14:schemeClr w14:val="tx1"/>
            </w14:solidFill>
          </w14:textFill>
        </w:rPr>
        <w:t>供应商若存在“磋商文件规定的要求”条款未进行响应时，将视为该条款存在负偏离或不满足。</w:t>
      </w:r>
    </w:p>
    <w:p w14:paraId="65D39F7D">
      <w:pPr>
        <w:pStyle w:val="40"/>
        <w:numPr>
          <w:ilvl w:val="0"/>
          <w:numId w:val="25"/>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供应商须谨慎进行响应，不可存在虚假投标（响应）的情形。</w:t>
      </w:r>
    </w:p>
    <w:p w14:paraId="3203ED74">
      <w:pPr>
        <w:pStyle w:val="37"/>
        <w:autoSpaceDN/>
        <w:spacing w:line="480" w:lineRule="auto"/>
        <w:ind w:right="101" w:rightChars="48"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供应商法定代表人或其授权代表（签字或盖章）：</w:t>
      </w:r>
      <w:r>
        <w:rPr>
          <w:rFonts w:hint="eastAsia"/>
          <w:color w:val="000000" w:themeColor="text1"/>
          <w:sz w:val="20"/>
          <w:szCs w:val="20"/>
          <w:u w:val="single"/>
          <w14:textFill>
            <w14:solidFill>
              <w14:schemeClr w14:val="tx1"/>
            </w14:solidFill>
          </w14:textFill>
        </w:rPr>
        <w:t xml:space="preserve">                    .</w:t>
      </w:r>
    </w:p>
    <w:p w14:paraId="78E88CAE">
      <w:pPr>
        <w:pStyle w:val="37"/>
        <w:autoSpaceDN/>
        <w:spacing w:line="480" w:lineRule="auto"/>
        <w:ind w:right="101" w:rightChars="48"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1168268F">
      <w:pPr>
        <w:pStyle w:val="37"/>
        <w:autoSpaceDN/>
        <w:spacing w:line="480" w:lineRule="auto"/>
        <w:ind w:right="101" w:rightChars="48" w:firstLine="4134" w:firstLineChars="2067"/>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104536EB">
      <w:pPr>
        <w:rPr>
          <w:color w:val="000000" w:themeColor="text1"/>
          <w14:textFill>
            <w14:solidFill>
              <w14:schemeClr w14:val="tx1"/>
            </w14:solidFill>
          </w14:textFill>
        </w:rPr>
        <w:sectPr>
          <w:pgSz w:w="11906" w:h="16838"/>
          <w:pgMar w:top="1440" w:right="1080" w:bottom="1440" w:left="1080" w:header="426" w:footer="992" w:gutter="0"/>
          <w:cols w:space="720" w:num="1"/>
          <w:titlePg/>
          <w:docGrid w:type="lines" w:linePitch="312" w:charSpace="0"/>
        </w:sectPr>
      </w:pPr>
    </w:p>
    <w:p w14:paraId="14116025">
      <w:pPr>
        <w:pStyle w:val="3"/>
        <w:keepLines w:val="0"/>
        <w:numPr>
          <w:ilvl w:val="0"/>
          <w:numId w:val="21"/>
        </w:numPr>
        <w:spacing w:before="120" w:after="120"/>
        <w:ind w:left="720" w:hanging="720"/>
        <w:rPr>
          <w:rFonts w:hint="eastAsia" w:ascii="宋体" w:eastAsia="宋体"/>
          <w:color w:val="000000" w:themeColor="text1"/>
          <w:sz w:val="24"/>
          <w:szCs w:val="24"/>
          <w14:textFill>
            <w14:solidFill>
              <w14:schemeClr w14:val="tx1"/>
            </w14:solidFill>
          </w14:textFill>
        </w:rPr>
      </w:pPr>
      <w:bookmarkStart w:id="224" w:name="_Toc104131876"/>
      <w:bookmarkEnd w:id="224"/>
      <w:bookmarkStart w:id="225" w:name="_Toc104040718"/>
      <w:bookmarkEnd w:id="225"/>
      <w:bookmarkStart w:id="226" w:name="_Toc103033246"/>
      <w:bookmarkEnd w:id="226"/>
      <w:bookmarkStart w:id="227" w:name="_Toc131271300"/>
      <w:bookmarkEnd w:id="227"/>
      <w:bookmarkStart w:id="228" w:name="_Toc8042"/>
      <w:bookmarkEnd w:id="228"/>
      <w:bookmarkStart w:id="229" w:name="_Toc18164"/>
      <w:bookmarkStart w:id="230" w:name="_Toc114053448"/>
      <w:r>
        <w:rPr>
          <w:rFonts w:hint="eastAsia" w:ascii="宋体" w:eastAsia="宋体"/>
          <w:color w:val="000000" w:themeColor="text1"/>
          <w:sz w:val="24"/>
          <w:szCs w:val="24"/>
          <w14:textFill>
            <w14:solidFill>
              <w14:schemeClr w14:val="tx1"/>
            </w14:solidFill>
          </w14:textFill>
        </w:rPr>
        <w:t>技术条款响应表</w:t>
      </w:r>
      <w:bookmarkEnd w:id="229"/>
      <w:bookmarkEnd w:id="230"/>
    </w:p>
    <w:p w14:paraId="77654DC0">
      <w:pPr>
        <w:jc w:val="center"/>
        <w:rPr>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技术条款响应表</w:t>
      </w:r>
    </w:p>
    <w:p w14:paraId="5B3BFB92">
      <w:pPr>
        <w:rPr>
          <w:bCs/>
          <w:color w:val="000000" w:themeColor="text1"/>
          <w:sz w:val="20"/>
          <w:szCs w:val="20"/>
          <w14:textFill>
            <w14:solidFill>
              <w14:schemeClr w14:val="tx1"/>
            </w14:solidFill>
          </w14:textFill>
        </w:rPr>
      </w:pPr>
      <w:r>
        <w:rPr>
          <w:rFonts w:hint="eastAsia"/>
          <w:bCs/>
          <w:color w:val="000000" w:themeColor="text1"/>
          <w:sz w:val="20"/>
          <w:szCs w:val="20"/>
          <w14:textFill>
            <w14:solidFill>
              <w14:schemeClr w14:val="tx1"/>
            </w14:solidFill>
          </w14:textFill>
        </w:rPr>
        <w:t xml:space="preserve">项目名称：_________________  </w:t>
      </w:r>
    </w:p>
    <w:p w14:paraId="445259ED">
      <w:pPr>
        <w:rPr>
          <w:bCs/>
          <w:color w:val="000000" w:themeColor="text1"/>
          <w:sz w:val="20"/>
          <w:szCs w:val="20"/>
          <w14:textFill>
            <w14:solidFill>
              <w14:schemeClr w14:val="tx1"/>
            </w14:solidFill>
          </w14:textFill>
        </w:rPr>
      </w:pPr>
      <w:r>
        <w:rPr>
          <w:rFonts w:hint="eastAsia"/>
          <w:bCs/>
          <w:color w:val="000000" w:themeColor="text1"/>
          <w:sz w:val="20"/>
          <w:szCs w:val="20"/>
          <w14:textFill>
            <w14:solidFill>
              <w14:schemeClr w14:val="tx1"/>
            </w14:solidFill>
          </w14:textFill>
        </w:rPr>
        <w:t>项目编号：_________________</w:t>
      </w:r>
    </w:p>
    <w:tbl>
      <w:tblPr>
        <w:tblStyle w:val="29"/>
        <w:tblW w:w="5000" w:type="pct"/>
        <w:tblInd w:w="108" w:type="dxa"/>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889"/>
        <w:gridCol w:w="3451"/>
        <w:gridCol w:w="1735"/>
        <w:gridCol w:w="1116"/>
        <w:gridCol w:w="1332"/>
      </w:tblGrid>
      <w:tr w14:paraId="4C2E0CE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l2br w:val="nil"/>
              <w:tr2bl w:val="nil"/>
            </w:tcBorders>
            <w:vAlign w:val="center"/>
          </w:tcPr>
          <w:p w14:paraId="668AB7DB">
            <w:pPr>
              <w:adjustRightInd w:val="0"/>
              <w:snapToGrid w:val="0"/>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序号</w:t>
            </w:r>
          </w:p>
        </w:tc>
        <w:tc>
          <w:tcPr>
            <w:tcW w:w="2023" w:type="pct"/>
            <w:tcBorders>
              <w:top w:val="single" w:color="auto" w:sz="4" w:space="0"/>
              <w:left w:val="single" w:color="auto" w:sz="4" w:space="0"/>
              <w:bottom w:val="single" w:color="auto" w:sz="4" w:space="0"/>
              <w:right w:val="single" w:color="auto" w:sz="4" w:space="0"/>
              <w:tl2br w:val="nil"/>
              <w:tr2bl w:val="nil"/>
            </w:tcBorders>
            <w:vAlign w:val="center"/>
          </w:tcPr>
          <w:p w14:paraId="5E333FB7">
            <w:pPr>
              <w:adjustRightInd w:val="0"/>
              <w:snapToGrid w:val="0"/>
              <w:jc w:val="center"/>
              <w:rPr>
                <w:b/>
                <w:bCs/>
                <w:color w:val="000000" w:themeColor="text1"/>
                <w:sz w:val="20"/>
                <w:szCs w:val="20"/>
                <w14:textFill>
                  <w14:solidFill>
                    <w14:schemeClr w14:val="tx1"/>
                  </w14:solidFill>
                </w14:textFill>
              </w:rPr>
            </w:pPr>
            <w:r>
              <w:rPr>
                <w:rFonts w:hint="eastAsia"/>
                <w:b/>
                <w:color w:val="000000" w:themeColor="text1"/>
                <w:sz w:val="20"/>
                <w:szCs w:val="20"/>
                <w14:textFill>
                  <w14:solidFill>
                    <w14:schemeClr w14:val="tx1"/>
                  </w14:solidFill>
                </w14:textFill>
              </w:rPr>
              <w:t>磋商文件规定的要求</w:t>
            </w:r>
          </w:p>
        </w:tc>
        <w:tc>
          <w:tcPr>
            <w:tcW w:w="1017" w:type="pct"/>
            <w:tcBorders>
              <w:top w:val="single" w:color="auto" w:sz="4" w:space="0"/>
              <w:left w:val="single" w:color="auto" w:sz="4" w:space="0"/>
              <w:bottom w:val="single" w:color="auto" w:sz="4" w:space="0"/>
              <w:right w:val="single" w:color="auto" w:sz="4" w:space="0"/>
              <w:tl2br w:val="nil"/>
              <w:tr2bl w:val="nil"/>
            </w:tcBorders>
            <w:vAlign w:val="center"/>
          </w:tcPr>
          <w:p w14:paraId="6100CBFB">
            <w:pPr>
              <w:adjustRightInd w:val="0"/>
              <w:snapToGrid w:val="0"/>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供应商响应情况</w:t>
            </w:r>
          </w:p>
        </w:tc>
        <w:tc>
          <w:tcPr>
            <w:tcW w:w="654" w:type="pct"/>
            <w:tcBorders>
              <w:top w:val="single" w:color="auto" w:sz="4" w:space="0"/>
              <w:left w:val="single" w:color="auto" w:sz="4" w:space="0"/>
              <w:bottom w:val="single" w:color="auto" w:sz="4" w:space="0"/>
              <w:right w:val="single" w:color="auto" w:sz="4" w:space="0"/>
              <w:tl2br w:val="nil"/>
              <w:tr2bl w:val="nil"/>
            </w:tcBorders>
            <w:vAlign w:val="center"/>
          </w:tcPr>
          <w:p w14:paraId="3DC3C4CE">
            <w:pPr>
              <w:adjustRightInd w:val="0"/>
              <w:snapToGrid w:val="0"/>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偏离情况</w:t>
            </w:r>
          </w:p>
        </w:tc>
        <w:tc>
          <w:tcPr>
            <w:tcW w:w="781" w:type="pct"/>
            <w:tcBorders>
              <w:top w:val="single" w:color="auto" w:sz="4" w:space="0"/>
              <w:left w:val="single" w:color="auto" w:sz="4" w:space="0"/>
              <w:bottom w:val="single" w:color="auto" w:sz="4" w:space="0"/>
              <w:right w:val="single" w:color="auto" w:sz="4" w:space="0"/>
              <w:tl2br w:val="nil"/>
              <w:tr2bl w:val="nil"/>
            </w:tcBorders>
            <w:vAlign w:val="center"/>
          </w:tcPr>
          <w:p w14:paraId="50A3B319">
            <w:pPr>
              <w:adjustRightInd w:val="0"/>
              <w:snapToGrid w:val="0"/>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备注</w:t>
            </w:r>
          </w:p>
        </w:tc>
      </w:tr>
      <w:tr w14:paraId="699C2D6A">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l2br w:val="nil"/>
              <w:tr2bl w:val="nil"/>
            </w:tcBorders>
            <w:vAlign w:val="center"/>
          </w:tcPr>
          <w:p w14:paraId="12C4ECAB">
            <w:pPr>
              <w:pStyle w:val="40"/>
              <w:numPr>
                <w:ilvl w:val="0"/>
                <w:numId w:val="26"/>
              </w:numPr>
              <w:adjustRightInd w:val="0"/>
              <w:snapToGrid w:val="0"/>
              <w:jc w:val="center"/>
              <w:rPr>
                <w:rFonts w:hint="eastAsia"/>
                <w:color w:val="000000" w:themeColor="text1"/>
                <w:sz w:val="20"/>
                <w:szCs w:val="20"/>
                <w14:textFill>
                  <w14:solidFill>
                    <w14:schemeClr w14:val="tx1"/>
                  </w14:solidFill>
                </w14:textFill>
              </w:rPr>
            </w:pPr>
          </w:p>
        </w:tc>
        <w:tc>
          <w:tcPr>
            <w:tcW w:w="2023" w:type="pct"/>
            <w:tcBorders>
              <w:top w:val="single" w:color="auto" w:sz="4" w:space="0"/>
              <w:left w:val="single" w:color="auto" w:sz="4" w:space="0"/>
              <w:bottom w:val="single" w:color="auto" w:sz="4" w:space="0"/>
              <w:right w:val="single" w:color="auto" w:sz="4" w:space="0"/>
              <w:tl2br w:val="nil"/>
              <w:tr2bl w:val="nil"/>
            </w:tcBorders>
            <w:vAlign w:val="center"/>
          </w:tcPr>
          <w:p w14:paraId="1E0DF72C">
            <w:pPr>
              <w:adjustRightInd w:val="0"/>
              <w:snapToGrid w:val="0"/>
              <w:jc w:val="center"/>
              <w:rPr>
                <w:color w:val="000000" w:themeColor="text1"/>
                <w:sz w:val="20"/>
                <w:szCs w:val="20"/>
                <w14:textFill>
                  <w14:solidFill>
                    <w14:schemeClr w14:val="tx1"/>
                  </w14:solidFill>
                </w14:textFill>
              </w:rPr>
            </w:pPr>
          </w:p>
        </w:tc>
        <w:tc>
          <w:tcPr>
            <w:tcW w:w="1017" w:type="pct"/>
            <w:tcBorders>
              <w:top w:val="single" w:color="auto" w:sz="4" w:space="0"/>
              <w:left w:val="single" w:color="auto" w:sz="4" w:space="0"/>
              <w:bottom w:val="single" w:color="auto" w:sz="4" w:space="0"/>
              <w:right w:val="single" w:color="auto" w:sz="4" w:space="0"/>
              <w:tl2br w:val="nil"/>
              <w:tr2bl w:val="nil"/>
            </w:tcBorders>
            <w:vAlign w:val="center"/>
          </w:tcPr>
          <w:p w14:paraId="7E3251C1">
            <w:pPr>
              <w:adjustRightInd w:val="0"/>
              <w:snapToGrid w:val="0"/>
              <w:jc w:val="center"/>
              <w:rPr>
                <w:color w:val="000000" w:themeColor="text1"/>
                <w:sz w:val="20"/>
                <w:szCs w:val="20"/>
                <w14:textFill>
                  <w14:solidFill>
                    <w14:schemeClr w14:val="tx1"/>
                  </w14:solidFill>
                </w14:textFill>
              </w:rPr>
            </w:pPr>
          </w:p>
        </w:tc>
        <w:tc>
          <w:tcPr>
            <w:tcW w:w="654" w:type="pct"/>
            <w:tcBorders>
              <w:top w:val="single" w:color="auto" w:sz="4" w:space="0"/>
              <w:left w:val="single" w:color="auto" w:sz="4" w:space="0"/>
              <w:bottom w:val="single" w:color="auto" w:sz="4" w:space="0"/>
              <w:right w:val="single" w:color="auto" w:sz="4" w:space="0"/>
              <w:tl2br w:val="nil"/>
              <w:tr2bl w:val="nil"/>
            </w:tcBorders>
            <w:vAlign w:val="center"/>
          </w:tcPr>
          <w:p w14:paraId="6C04813A">
            <w:pPr>
              <w:adjustRightInd w:val="0"/>
              <w:snapToGrid w:val="0"/>
              <w:jc w:val="center"/>
              <w:rPr>
                <w:color w:val="000000" w:themeColor="text1"/>
                <w:sz w:val="20"/>
                <w:szCs w:val="20"/>
                <w14:textFill>
                  <w14:solidFill>
                    <w14:schemeClr w14:val="tx1"/>
                  </w14:solidFill>
                </w14:textFill>
              </w:rPr>
            </w:pPr>
          </w:p>
        </w:tc>
        <w:tc>
          <w:tcPr>
            <w:tcW w:w="781" w:type="pct"/>
            <w:tcBorders>
              <w:top w:val="single" w:color="auto" w:sz="4" w:space="0"/>
              <w:left w:val="single" w:color="auto" w:sz="4" w:space="0"/>
              <w:bottom w:val="single" w:color="auto" w:sz="4" w:space="0"/>
              <w:right w:val="single" w:color="auto" w:sz="4" w:space="0"/>
              <w:tl2br w:val="nil"/>
              <w:tr2bl w:val="nil"/>
            </w:tcBorders>
            <w:vAlign w:val="center"/>
          </w:tcPr>
          <w:p w14:paraId="23000949">
            <w:pPr>
              <w:adjustRightInd w:val="0"/>
              <w:snapToGrid w:val="0"/>
              <w:jc w:val="center"/>
              <w:rPr>
                <w:color w:val="000000" w:themeColor="text1"/>
                <w:sz w:val="20"/>
                <w:szCs w:val="20"/>
                <w14:textFill>
                  <w14:solidFill>
                    <w14:schemeClr w14:val="tx1"/>
                  </w14:solidFill>
                </w14:textFill>
              </w:rPr>
            </w:pPr>
          </w:p>
        </w:tc>
      </w:tr>
      <w:tr w14:paraId="17660B7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l2br w:val="nil"/>
              <w:tr2bl w:val="nil"/>
            </w:tcBorders>
            <w:vAlign w:val="center"/>
          </w:tcPr>
          <w:p w14:paraId="65BAFFAF">
            <w:pPr>
              <w:adjustRightInd w:val="0"/>
              <w:snapToGrid w:val="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w:t>
            </w:r>
          </w:p>
        </w:tc>
        <w:tc>
          <w:tcPr>
            <w:tcW w:w="2023" w:type="pct"/>
            <w:tcBorders>
              <w:top w:val="single" w:color="auto" w:sz="4" w:space="0"/>
              <w:left w:val="single" w:color="auto" w:sz="4" w:space="0"/>
              <w:bottom w:val="single" w:color="auto" w:sz="4" w:space="0"/>
              <w:right w:val="single" w:color="auto" w:sz="4" w:space="0"/>
              <w:tl2br w:val="nil"/>
              <w:tr2bl w:val="nil"/>
            </w:tcBorders>
            <w:vAlign w:val="center"/>
          </w:tcPr>
          <w:p w14:paraId="7F0D3BE4">
            <w:pPr>
              <w:adjustRightInd w:val="0"/>
              <w:snapToGrid w:val="0"/>
              <w:jc w:val="center"/>
              <w:rPr>
                <w:color w:val="000000" w:themeColor="text1"/>
                <w:sz w:val="20"/>
                <w:szCs w:val="20"/>
                <w14:textFill>
                  <w14:solidFill>
                    <w14:schemeClr w14:val="tx1"/>
                  </w14:solidFill>
                </w14:textFill>
              </w:rPr>
            </w:pPr>
          </w:p>
        </w:tc>
        <w:tc>
          <w:tcPr>
            <w:tcW w:w="1017" w:type="pct"/>
            <w:tcBorders>
              <w:top w:val="single" w:color="auto" w:sz="4" w:space="0"/>
              <w:left w:val="single" w:color="auto" w:sz="4" w:space="0"/>
              <w:bottom w:val="single" w:color="auto" w:sz="4" w:space="0"/>
              <w:right w:val="single" w:color="auto" w:sz="4" w:space="0"/>
              <w:tl2br w:val="nil"/>
              <w:tr2bl w:val="nil"/>
            </w:tcBorders>
            <w:vAlign w:val="center"/>
          </w:tcPr>
          <w:p w14:paraId="51A93935">
            <w:pPr>
              <w:adjustRightInd w:val="0"/>
              <w:snapToGrid w:val="0"/>
              <w:jc w:val="center"/>
              <w:rPr>
                <w:color w:val="000000" w:themeColor="text1"/>
                <w:sz w:val="20"/>
                <w:szCs w:val="20"/>
                <w14:textFill>
                  <w14:solidFill>
                    <w14:schemeClr w14:val="tx1"/>
                  </w14:solidFill>
                </w14:textFill>
              </w:rPr>
            </w:pPr>
          </w:p>
        </w:tc>
        <w:tc>
          <w:tcPr>
            <w:tcW w:w="654" w:type="pct"/>
            <w:tcBorders>
              <w:top w:val="single" w:color="auto" w:sz="4" w:space="0"/>
              <w:left w:val="single" w:color="auto" w:sz="4" w:space="0"/>
              <w:bottom w:val="single" w:color="auto" w:sz="4" w:space="0"/>
              <w:right w:val="single" w:color="auto" w:sz="4" w:space="0"/>
              <w:tl2br w:val="nil"/>
              <w:tr2bl w:val="nil"/>
            </w:tcBorders>
            <w:vAlign w:val="center"/>
          </w:tcPr>
          <w:p w14:paraId="05630F8E">
            <w:pPr>
              <w:adjustRightInd w:val="0"/>
              <w:snapToGrid w:val="0"/>
              <w:jc w:val="center"/>
              <w:rPr>
                <w:color w:val="000000" w:themeColor="text1"/>
                <w:sz w:val="20"/>
                <w:szCs w:val="20"/>
                <w14:textFill>
                  <w14:solidFill>
                    <w14:schemeClr w14:val="tx1"/>
                  </w14:solidFill>
                </w14:textFill>
              </w:rPr>
            </w:pPr>
          </w:p>
        </w:tc>
        <w:tc>
          <w:tcPr>
            <w:tcW w:w="781" w:type="pct"/>
            <w:tcBorders>
              <w:top w:val="single" w:color="auto" w:sz="4" w:space="0"/>
              <w:left w:val="single" w:color="auto" w:sz="4" w:space="0"/>
              <w:bottom w:val="single" w:color="auto" w:sz="4" w:space="0"/>
              <w:right w:val="single" w:color="auto" w:sz="4" w:space="0"/>
              <w:tl2br w:val="nil"/>
              <w:tr2bl w:val="nil"/>
            </w:tcBorders>
            <w:vAlign w:val="center"/>
          </w:tcPr>
          <w:p w14:paraId="744C8C72">
            <w:pPr>
              <w:adjustRightInd w:val="0"/>
              <w:snapToGrid w:val="0"/>
              <w:jc w:val="center"/>
              <w:rPr>
                <w:color w:val="000000" w:themeColor="text1"/>
                <w:sz w:val="20"/>
                <w:szCs w:val="20"/>
                <w14:textFill>
                  <w14:solidFill>
                    <w14:schemeClr w14:val="tx1"/>
                  </w14:solidFill>
                </w14:textFill>
              </w:rPr>
            </w:pPr>
          </w:p>
        </w:tc>
      </w:tr>
      <w:tr w14:paraId="57DB8EC3">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l2br w:val="nil"/>
              <w:tr2bl w:val="nil"/>
            </w:tcBorders>
            <w:vAlign w:val="center"/>
          </w:tcPr>
          <w:p w14:paraId="356C2727">
            <w:pPr>
              <w:adjustRightInd w:val="0"/>
              <w:snapToGrid w:val="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3</w:t>
            </w:r>
          </w:p>
        </w:tc>
        <w:tc>
          <w:tcPr>
            <w:tcW w:w="2023" w:type="pct"/>
            <w:tcBorders>
              <w:top w:val="single" w:color="auto" w:sz="4" w:space="0"/>
              <w:left w:val="single" w:color="auto" w:sz="4" w:space="0"/>
              <w:bottom w:val="single" w:color="auto" w:sz="4" w:space="0"/>
              <w:right w:val="single" w:color="auto" w:sz="4" w:space="0"/>
              <w:tl2br w:val="nil"/>
              <w:tr2bl w:val="nil"/>
            </w:tcBorders>
            <w:vAlign w:val="center"/>
          </w:tcPr>
          <w:p w14:paraId="6D32B636">
            <w:pPr>
              <w:adjustRightInd w:val="0"/>
              <w:snapToGrid w:val="0"/>
              <w:jc w:val="center"/>
              <w:rPr>
                <w:color w:val="000000" w:themeColor="text1"/>
                <w:sz w:val="20"/>
                <w:szCs w:val="20"/>
                <w14:textFill>
                  <w14:solidFill>
                    <w14:schemeClr w14:val="tx1"/>
                  </w14:solidFill>
                </w14:textFill>
              </w:rPr>
            </w:pPr>
          </w:p>
        </w:tc>
        <w:tc>
          <w:tcPr>
            <w:tcW w:w="1017" w:type="pct"/>
            <w:tcBorders>
              <w:top w:val="single" w:color="auto" w:sz="4" w:space="0"/>
              <w:left w:val="single" w:color="auto" w:sz="4" w:space="0"/>
              <w:bottom w:val="single" w:color="auto" w:sz="4" w:space="0"/>
              <w:right w:val="single" w:color="auto" w:sz="4" w:space="0"/>
              <w:tl2br w:val="nil"/>
              <w:tr2bl w:val="nil"/>
            </w:tcBorders>
            <w:vAlign w:val="center"/>
          </w:tcPr>
          <w:p w14:paraId="7E26CBCC">
            <w:pPr>
              <w:adjustRightInd w:val="0"/>
              <w:snapToGrid w:val="0"/>
              <w:jc w:val="center"/>
              <w:rPr>
                <w:color w:val="000000" w:themeColor="text1"/>
                <w:sz w:val="20"/>
                <w:szCs w:val="20"/>
                <w14:textFill>
                  <w14:solidFill>
                    <w14:schemeClr w14:val="tx1"/>
                  </w14:solidFill>
                </w14:textFill>
              </w:rPr>
            </w:pPr>
          </w:p>
        </w:tc>
        <w:tc>
          <w:tcPr>
            <w:tcW w:w="654" w:type="pct"/>
            <w:tcBorders>
              <w:top w:val="single" w:color="auto" w:sz="4" w:space="0"/>
              <w:left w:val="single" w:color="auto" w:sz="4" w:space="0"/>
              <w:bottom w:val="single" w:color="auto" w:sz="4" w:space="0"/>
              <w:right w:val="single" w:color="auto" w:sz="4" w:space="0"/>
              <w:tl2br w:val="nil"/>
              <w:tr2bl w:val="nil"/>
            </w:tcBorders>
            <w:vAlign w:val="center"/>
          </w:tcPr>
          <w:p w14:paraId="1362CAEE">
            <w:pPr>
              <w:adjustRightInd w:val="0"/>
              <w:snapToGrid w:val="0"/>
              <w:jc w:val="center"/>
              <w:rPr>
                <w:color w:val="000000" w:themeColor="text1"/>
                <w:sz w:val="20"/>
                <w:szCs w:val="20"/>
                <w14:textFill>
                  <w14:solidFill>
                    <w14:schemeClr w14:val="tx1"/>
                  </w14:solidFill>
                </w14:textFill>
              </w:rPr>
            </w:pPr>
          </w:p>
        </w:tc>
        <w:tc>
          <w:tcPr>
            <w:tcW w:w="781" w:type="pct"/>
            <w:tcBorders>
              <w:top w:val="single" w:color="auto" w:sz="4" w:space="0"/>
              <w:left w:val="single" w:color="auto" w:sz="4" w:space="0"/>
              <w:bottom w:val="single" w:color="auto" w:sz="4" w:space="0"/>
              <w:right w:val="single" w:color="auto" w:sz="4" w:space="0"/>
              <w:tl2br w:val="nil"/>
              <w:tr2bl w:val="nil"/>
            </w:tcBorders>
            <w:vAlign w:val="center"/>
          </w:tcPr>
          <w:p w14:paraId="159502FC">
            <w:pPr>
              <w:adjustRightInd w:val="0"/>
              <w:snapToGrid w:val="0"/>
              <w:jc w:val="center"/>
              <w:rPr>
                <w:color w:val="000000" w:themeColor="text1"/>
                <w:sz w:val="20"/>
                <w:szCs w:val="20"/>
                <w14:textFill>
                  <w14:solidFill>
                    <w14:schemeClr w14:val="tx1"/>
                  </w14:solidFill>
                </w14:textFill>
              </w:rPr>
            </w:pPr>
          </w:p>
        </w:tc>
      </w:tr>
      <w:tr w14:paraId="3985416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l2br w:val="nil"/>
              <w:tr2bl w:val="nil"/>
            </w:tcBorders>
            <w:vAlign w:val="center"/>
          </w:tcPr>
          <w:p w14:paraId="55F95114">
            <w:pPr>
              <w:adjustRightInd w:val="0"/>
              <w:snapToGrid w:val="0"/>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p>
        </w:tc>
        <w:tc>
          <w:tcPr>
            <w:tcW w:w="2023" w:type="pct"/>
            <w:tcBorders>
              <w:top w:val="single" w:color="auto" w:sz="4" w:space="0"/>
              <w:left w:val="single" w:color="auto" w:sz="4" w:space="0"/>
              <w:bottom w:val="single" w:color="auto" w:sz="4" w:space="0"/>
              <w:right w:val="single" w:color="auto" w:sz="4" w:space="0"/>
              <w:tl2br w:val="nil"/>
              <w:tr2bl w:val="nil"/>
            </w:tcBorders>
            <w:vAlign w:val="center"/>
          </w:tcPr>
          <w:p w14:paraId="397AE7AB">
            <w:pPr>
              <w:adjustRightInd w:val="0"/>
              <w:snapToGrid w:val="0"/>
              <w:jc w:val="center"/>
              <w:rPr>
                <w:color w:val="000000" w:themeColor="text1"/>
                <w:sz w:val="20"/>
                <w:szCs w:val="20"/>
                <w14:textFill>
                  <w14:solidFill>
                    <w14:schemeClr w14:val="tx1"/>
                  </w14:solidFill>
                </w14:textFill>
              </w:rPr>
            </w:pPr>
          </w:p>
        </w:tc>
        <w:tc>
          <w:tcPr>
            <w:tcW w:w="1017" w:type="pct"/>
            <w:tcBorders>
              <w:top w:val="single" w:color="auto" w:sz="4" w:space="0"/>
              <w:left w:val="single" w:color="auto" w:sz="4" w:space="0"/>
              <w:bottom w:val="single" w:color="auto" w:sz="4" w:space="0"/>
              <w:right w:val="single" w:color="auto" w:sz="4" w:space="0"/>
              <w:tl2br w:val="nil"/>
              <w:tr2bl w:val="nil"/>
            </w:tcBorders>
            <w:vAlign w:val="center"/>
          </w:tcPr>
          <w:p w14:paraId="0532A2C9">
            <w:pPr>
              <w:adjustRightInd w:val="0"/>
              <w:snapToGrid w:val="0"/>
              <w:jc w:val="center"/>
              <w:rPr>
                <w:color w:val="000000" w:themeColor="text1"/>
                <w:sz w:val="20"/>
                <w:szCs w:val="20"/>
                <w14:textFill>
                  <w14:solidFill>
                    <w14:schemeClr w14:val="tx1"/>
                  </w14:solidFill>
                </w14:textFill>
              </w:rPr>
            </w:pPr>
          </w:p>
        </w:tc>
        <w:tc>
          <w:tcPr>
            <w:tcW w:w="654" w:type="pct"/>
            <w:tcBorders>
              <w:top w:val="single" w:color="auto" w:sz="4" w:space="0"/>
              <w:left w:val="single" w:color="auto" w:sz="4" w:space="0"/>
              <w:bottom w:val="single" w:color="auto" w:sz="4" w:space="0"/>
              <w:right w:val="single" w:color="auto" w:sz="4" w:space="0"/>
              <w:tl2br w:val="nil"/>
              <w:tr2bl w:val="nil"/>
            </w:tcBorders>
            <w:vAlign w:val="center"/>
          </w:tcPr>
          <w:p w14:paraId="1CFFDE48">
            <w:pPr>
              <w:adjustRightInd w:val="0"/>
              <w:snapToGrid w:val="0"/>
              <w:jc w:val="center"/>
              <w:rPr>
                <w:color w:val="000000" w:themeColor="text1"/>
                <w:sz w:val="20"/>
                <w:szCs w:val="20"/>
                <w14:textFill>
                  <w14:solidFill>
                    <w14:schemeClr w14:val="tx1"/>
                  </w14:solidFill>
                </w14:textFill>
              </w:rPr>
            </w:pPr>
          </w:p>
        </w:tc>
        <w:tc>
          <w:tcPr>
            <w:tcW w:w="781" w:type="pct"/>
            <w:tcBorders>
              <w:top w:val="single" w:color="auto" w:sz="4" w:space="0"/>
              <w:left w:val="single" w:color="auto" w:sz="4" w:space="0"/>
              <w:bottom w:val="single" w:color="auto" w:sz="4" w:space="0"/>
              <w:right w:val="single" w:color="auto" w:sz="4" w:space="0"/>
              <w:tl2br w:val="nil"/>
              <w:tr2bl w:val="nil"/>
            </w:tcBorders>
            <w:vAlign w:val="center"/>
          </w:tcPr>
          <w:p w14:paraId="111F858F">
            <w:pPr>
              <w:adjustRightInd w:val="0"/>
              <w:snapToGrid w:val="0"/>
              <w:jc w:val="center"/>
              <w:rPr>
                <w:color w:val="000000" w:themeColor="text1"/>
                <w:sz w:val="20"/>
                <w:szCs w:val="20"/>
                <w14:textFill>
                  <w14:solidFill>
                    <w14:schemeClr w14:val="tx1"/>
                  </w14:solidFill>
                </w14:textFill>
              </w:rPr>
            </w:pPr>
          </w:p>
        </w:tc>
      </w:tr>
    </w:tbl>
    <w:p w14:paraId="33801343">
      <w:pPr>
        <w:adjustRightInd w:val="0"/>
        <w:snapToGrid w:val="0"/>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说明：</w:t>
      </w:r>
    </w:p>
    <w:p w14:paraId="301DAAF0">
      <w:pPr>
        <w:pStyle w:val="40"/>
        <w:numPr>
          <w:ilvl w:val="0"/>
          <w:numId w:val="27"/>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供应商需对应磋商文件</w:t>
      </w:r>
      <w:r>
        <w:rPr>
          <w:rFonts w:hint="eastAsia" w:ascii="宋体"/>
          <w:b/>
          <w:bCs/>
          <w:color w:val="000000" w:themeColor="text1"/>
          <w:sz w:val="20"/>
          <w:szCs w:val="20"/>
          <w14:textFill>
            <w14:solidFill>
              <w14:schemeClr w14:val="tx1"/>
            </w14:solidFill>
          </w14:textFill>
        </w:rPr>
        <w:t>第二章采购需求“技术要求”</w:t>
      </w:r>
      <w:r>
        <w:rPr>
          <w:rFonts w:hint="eastAsia" w:ascii="宋体"/>
          <w:color w:val="000000" w:themeColor="text1"/>
          <w:sz w:val="20"/>
          <w:szCs w:val="20"/>
          <w14:textFill>
            <w14:solidFill>
              <w14:schemeClr w14:val="tx1"/>
            </w14:solidFill>
          </w14:textFill>
        </w:rPr>
        <w:t>中所有条款进行</w:t>
      </w:r>
      <w:r>
        <w:rPr>
          <w:rFonts w:hint="eastAsia" w:ascii="宋体"/>
          <w:b/>
          <w:bCs/>
          <w:color w:val="000000" w:themeColor="text1"/>
          <w:sz w:val="20"/>
          <w:szCs w:val="20"/>
          <w14:textFill>
            <w14:solidFill>
              <w14:schemeClr w14:val="tx1"/>
            </w14:solidFill>
          </w14:textFill>
        </w:rPr>
        <w:t>逐条响应或整体响应</w:t>
      </w:r>
      <w:r>
        <w:rPr>
          <w:rFonts w:hint="eastAsia" w:ascii="宋体"/>
          <w:color w:val="000000" w:themeColor="text1"/>
          <w:sz w:val="20"/>
          <w:szCs w:val="20"/>
          <w14:textFill>
            <w14:solidFill>
              <w14:schemeClr w14:val="tx1"/>
            </w14:solidFill>
          </w14:textFill>
        </w:rPr>
        <w:t>，并按要求填写上表。</w:t>
      </w:r>
      <w:r>
        <w:rPr>
          <w:rFonts w:hint="eastAsia" w:ascii="宋体"/>
          <w:b/>
          <w:bCs/>
          <w:color w:val="000000" w:themeColor="text1"/>
          <w:sz w:val="20"/>
          <w:szCs w:val="20"/>
          <w14:textFill>
            <w14:solidFill>
              <w14:schemeClr w14:val="tx1"/>
            </w14:solidFill>
          </w14:textFill>
        </w:rPr>
        <w:t>若要求提供证明材料的，还须提供相应的证明材料，否则视为负偏离。</w:t>
      </w:r>
    </w:p>
    <w:p w14:paraId="3C223017">
      <w:pPr>
        <w:pStyle w:val="40"/>
        <w:numPr>
          <w:ilvl w:val="0"/>
          <w:numId w:val="27"/>
        </w:numPr>
        <w:adjustRightInd w:val="0"/>
        <w:snapToGrid w:val="0"/>
        <w:ind w:left="0" w:firstLine="400" w:firstLineChars="200"/>
        <w:rPr>
          <w:rFonts w:hint="eastAsia"/>
          <w:b/>
          <w:bCs/>
          <w:color w:val="000000" w:themeColor="text1"/>
          <w:sz w:val="20"/>
          <w:szCs w:val="20"/>
          <w14:textFill>
            <w14:solidFill>
              <w14:schemeClr w14:val="tx1"/>
            </w14:solidFill>
          </w14:textFill>
        </w:rPr>
      </w:pP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磋商文件规定的要求</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项下填写的内容应与磋商文件</w:t>
      </w:r>
      <w:r>
        <w:rPr>
          <w:rFonts w:hint="eastAsia" w:ascii="宋体"/>
          <w:b/>
          <w:bCs/>
          <w:color w:val="000000" w:themeColor="text1"/>
          <w:sz w:val="20"/>
          <w:szCs w:val="20"/>
          <w14:textFill>
            <w14:solidFill>
              <w14:schemeClr w14:val="tx1"/>
            </w14:solidFill>
          </w14:textFill>
        </w:rPr>
        <w:t>第二章采购需求“技术要求”中的内容</w:t>
      </w:r>
      <w:r>
        <w:rPr>
          <w:rFonts w:hint="eastAsia" w:ascii="宋体"/>
          <w:color w:val="000000" w:themeColor="text1"/>
          <w:sz w:val="20"/>
          <w:szCs w:val="20"/>
          <w14:textFill>
            <w14:solidFill>
              <w14:schemeClr w14:val="tx1"/>
            </w14:solidFill>
          </w14:textFill>
        </w:rPr>
        <w:t>保持一致。若供应商针对所有条款完全满足要求无偏离时，可以进行整体响应，在</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磋商文件规定的要求</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项下填写</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所有技术条款要求</w:t>
      </w:r>
      <w:r>
        <w:rPr>
          <w:rFonts w:hint="eastAsia" w:eastAsia="华文中宋"/>
          <w:color w:val="000000" w:themeColor="text1"/>
          <w:sz w:val="20"/>
          <w:szCs w:val="20"/>
          <w14:textFill>
            <w14:solidFill>
              <w14:schemeClr w14:val="tx1"/>
            </w14:solidFill>
          </w14:textFill>
        </w:rPr>
        <w:t>”</w:t>
      </w:r>
      <w:r>
        <w:rPr>
          <w:rFonts w:hint="eastAsia" w:ascii="宋体"/>
          <w:color w:val="000000" w:themeColor="text1"/>
          <w:sz w:val="20"/>
          <w:szCs w:val="20"/>
          <w14:textFill>
            <w14:solidFill>
              <w14:schemeClr w14:val="tx1"/>
            </w14:solidFill>
          </w14:textFill>
        </w:rPr>
        <w:t>；</w:t>
      </w:r>
      <w:r>
        <w:rPr>
          <w:rFonts w:hint="eastAsia" w:ascii="宋体"/>
          <w:b/>
          <w:bCs/>
          <w:color w:val="000000" w:themeColor="text1"/>
          <w:sz w:val="20"/>
          <w:szCs w:val="20"/>
          <w14:textFill>
            <w14:solidFill>
              <w14:schemeClr w14:val="tx1"/>
            </w14:solidFill>
          </w14:textFill>
        </w:rPr>
        <w:t>若供应商存在偏离项时，则所有重要或一般技术条款需要进行逐条响应。</w:t>
      </w:r>
    </w:p>
    <w:p w14:paraId="468D71FC">
      <w:pPr>
        <w:pStyle w:val="40"/>
        <w:numPr>
          <w:ilvl w:val="0"/>
          <w:numId w:val="27"/>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“供应商响应情况”</w:t>
      </w:r>
      <w:r>
        <w:rPr>
          <w:rFonts w:hint="eastAsia" w:ascii="宋体"/>
          <w:bCs/>
          <w:color w:val="000000" w:themeColor="text1"/>
          <w:sz w:val="20"/>
          <w:szCs w:val="20"/>
          <w14:textFill>
            <w14:solidFill>
              <w14:schemeClr w14:val="tx1"/>
            </w14:solidFill>
          </w14:textFill>
        </w:rPr>
        <w:t>项下填写供应商针对“磋商文件规定的要求”的响应数值或内容</w:t>
      </w:r>
      <w:r>
        <w:rPr>
          <w:rFonts w:hint="eastAsia" w:ascii="宋体"/>
          <w:color w:val="000000" w:themeColor="text1"/>
          <w:sz w:val="20"/>
          <w:szCs w:val="20"/>
          <w14:textFill>
            <w14:solidFill>
              <w14:schemeClr w14:val="tx1"/>
            </w14:solidFill>
          </w14:textFill>
        </w:rPr>
        <w:t>；若供应商响应完全满足“磋商文件规定的要求”，也可以填写“完全按照磋商文件规定执行”。</w:t>
      </w:r>
    </w:p>
    <w:p w14:paraId="2065AD16">
      <w:pPr>
        <w:pStyle w:val="40"/>
        <w:numPr>
          <w:ilvl w:val="0"/>
          <w:numId w:val="27"/>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w:t>
      </w:r>
      <w:r>
        <w:rPr>
          <w:rFonts w:hint="eastAsia" w:ascii="宋体"/>
          <w:bCs/>
          <w:color w:val="000000" w:themeColor="text1"/>
          <w:sz w:val="20"/>
          <w:szCs w:val="20"/>
          <w14:textFill>
            <w14:solidFill>
              <w14:schemeClr w14:val="tx1"/>
            </w14:solidFill>
          </w14:textFill>
        </w:rPr>
        <w:t>偏离情况</w:t>
      </w:r>
      <w:r>
        <w:rPr>
          <w:rFonts w:hint="eastAsia" w:eastAsia="华文中宋"/>
          <w:bCs/>
          <w:color w:val="000000" w:themeColor="text1"/>
          <w:sz w:val="20"/>
          <w:szCs w:val="20"/>
          <w14:textFill>
            <w14:solidFill>
              <w14:schemeClr w14:val="tx1"/>
            </w14:solidFill>
          </w14:textFill>
        </w:rPr>
        <w:t>”</w:t>
      </w:r>
      <w:r>
        <w:rPr>
          <w:rFonts w:hint="eastAsia" w:ascii="宋体"/>
          <w:bCs/>
          <w:color w:val="000000" w:themeColor="text1"/>
          <w:sz w:val="20"/>
          <w:szCs w:val="20"/>
          <w14:textFill>
            <w14:solidFill>
              <w14:schemeClr w14:val="tx1"/>
            </w14:solidFill>
          </w14:textFill>
        </w:rPr>
        <w:t>项下应填写“正偏离”或“无偏离”或“负偏离”，供应商须真实体现偏离情况。其中“正偏离”是指优于磋商文件规定的要求；“无偏离”是指满足磋商文件规定的要求；“负偏离”是指低于磋商文件规定的要求</w:t>
      </w:r>
      <w:r>
        <w:rPr>
          <w:rFonts w:hint="eastAsia" w:ascii="宋体"/>
          <w:color w:val="000000" w:themeColor="text1"/>
          <w:sz w:val="20"/>
          <w:szCs w:val="20"/>
          <w14:textFill>
            <w14:solidFill>
              <w14:schemeClr w14:val="tx1"/>
            </w14:solidFill>
          </w14:textFill>
        </w:rPr>
        <w:t>。</w:t>
      </w:r>
    </w:p>
    <w:p w14:paraId="3ACE1093">
      <w:pPr>
        <w:pStyle w:val="40"/>
        <w:numPr>
          <w:ilvl w:val="0"/>
          <w:numId w:val="27"/>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“备注”项下填写佐证材料的相关页码或具体偏离内容，不涉及则无需填写。</w:t>
      </w:r>
    </w:p>
    <w:p w14:paraId="6D90B467">
      <w:pPr>
        <w:pStyle w:val="40"/>
        <w:numPr>
          <w:ilvl w:val="0"/>
          <w:numId w:val="27"/>
        </w:numPr>
        <w:adjustRightInd w:val="0"/>
        <w:snapToGrid w:val="0"/>
        <w:ind w:left="0" w:firstLine="402" w:firstLineChars="200"/>
        <w:rPr>
          <w:rFonts w:hint="eastAsia"/>
          <w:b/>
          <w:color w:val="000000" w:themeColor="text1"/>
          <w:sz w:val="20"/>
          <w:szCs w:val="20"/>
          <w14:textFill>
            <w14:solidFill>
              <w14:schemeClr w14:val="tx1"/>
            </w14:solidFill>
          </w14:textFill>
        </w:rPr>
      </w:pPr>
      <w:r>
        <w:rPr>
          <w:rFonts w:hint="eastAsia" w:ascii="宋体"/>
          <w:b/>
          <w:color w:val="000000" w:themeColor="text1"/>
          <w:sz w:val="20"/>
          <w:szCs w:val="20"/>
          <w14:textFill>
            <w14:solidFill>
              <w14:schemeClr w14:val="tx1"/>
            </w14:solidFill>
          </w14:textFill>
        </w:rPr>
        <w:t>供应商若存在“磋商文件规定的要求”条款未进行响应时，将视为该条款存在负偏离或不满足。</w:t>
      </w:r>
    </w:p>
    <w:p w14:paraId="61558EE2">
      <w:pPr>
        <w:pStyle w:val="40"/>
        <w:numPr>
          <w:ilvl w:val="0"/>
          <w:numId w:val="27"/>
        </w:numPr>
        <w:adjustRightInd w:val="0"/>
        <w:snapToGrid w:val="0"/>
        <w:ind w:left="0" w:firstLine="400" w:firstLineChars="200"/>
        <w:rPr>
          <w:rFonts w:hint="eastAsia"/>
          <w:color w:val="000000" w:themeColor="text1"/>
          <w:sz w:val="20"/>
          <w:szCs w:val="20"/>
          <w14:textFill>
            <w14:solidFill>
              <w14:schemeClr w14:val="tx1"/>
            </w14:solidFill>
          </w14:textFill>
        </w:rPr>
      </w:pPr>
      <w:r>
        <w:rPr>
          <w:rFonts w:hint="eastAsia" w:ascii="宋体"/>
          <w:color w:val="000000" w:themeColor="text1"/>
          <w:sz w:val="20"/>
          <w:szCs w:val="20"/>
          <w14:textFill>
            <w14:solidFill>
              <w14:schemeClr w14:val="tx1"/>
            </w14:solidFill>
          </w14:textFill>
        </w:rPr>
        <w:t>供应商须谨慎进行响应，不可存在虚假投标（响应）的情形。</w:t>
      </w:r>
    </w:p>
    <w:p w14:paraId="4E2EDA25">
      <w:pPr>
        <w:pStyle w:val="37"/>
        <w:autoSpaceDN/>
        <w:ind w:firstLine="0" w:firstLineChars="0"/>
        <w:jc w:val="right"/>
        <w:rPr>
          <w:color w:val="000000" w:themeColor="text1"/>
          <w:kern w:val="0"/>
          <w:sz w:val="20"/>
          <w:szCs w:val="20"/>
          <w14:textFill>
            <w14:solidFill>
              <w14:schemeClr w14:val="tx1"/>
            </w14:solidFill>
          </w14:textFill>
        </w:rPr>
      </w:pPr>
    </w:p>
    <w:p w14:paraId="5786FA76">
      <w:pPr>
        <w:pStyle w:val="37"/>
        <w:autoSpaceDN/>
        <w:ind w:firstLine="0" w:firstLineChars="0"/>
        <w:jc w:val="right"/>
        <w:rPr>
          <w:color w:val="000000" w:themeColor="text1"/>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供应商</w:t>
      </w:r>
      <w:r>
        <w:rPr>
          <w:rFonts w:hint="eastAsia"/>
          <w:color w:val="000000" w:themeColor="text1"/>
          <w:sz w:val="20"/>
          <w:szCs w:val="20"/>
          <w14:textFill>
            <w14:solidFill>
              <w14:schemeClr w14:val="tx1"/>
            </w14:solidFill>
          </w14:textFill>
        </w:rPr>
        <w:t>法定代表人或其授权委托人（签字或盖章）：</w:t>
      </w:r>
      <w:r>
        <w:rPr>
          <w:rFonts w:hint="eastAsia"/>
          <w:color w:val="000000" w:themeColor="text1"/>
          <w:sz w:val="20"/>
          <w:szCs w:val="20"/>
          <w:u w:val="single"/>
          <w14:textFill>
            <w14:solidFill>
              <w14:schemeClr w14:val="tx1"/>
            </w14:solidFill>
          </w14:textFill>
        </w:rPr>
        <w:t xml:space="preserve">                    .</w:t>
      </w:r>
    </w:p>
    <w:p w14:paraId="172EE52E">
      <w:pPr>
        <w:pStyle w:val="37"/>
        <w:autoSpaceDN/>
        <w:ind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3612B885">
      <w:pPr>
        <w:ind w:right="-35"/>
        <w:jc w:val="right"/>
        <w:rPr>
          <w:b/>
          <w:bCs/>
          <w:color w:val="000000" w:themeColor="text1"/>
          <w:sz w:val="24"/>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r>
        <w:rPr>
          <w:rFonts w:hint="eastAsia"/>
          <w:color w:val="000000" w:themeColor="text1"/>
          <w:sz w:val="24"/>
          <w14:textFill>
            <w14:solidFill>
              <w14:schemeClr w14:val="tx1"/>
            </w14:solidFill>
          </w14:textFill>
        </w:rPr>
        <w:br w:type="page"/>
      </w:r>
    </w:p>
    <w:p w14:paraId="30D051C1">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31" w:name="_Toc25128"/>
      <w:bookmarkEnd w:id="231"/>
      <w:bookmarkStart w:id="232" w:name="_Toc12985"/>
      <w:r>
        <w:rPr>
          <w:rFonts w:hint="eastAsia" w:ascii="宋体" w:eastAsia="宋体"/>
          <w:color w:val="000000" w:themeColor="text1"/>
          <w:sz w:val="24"/>
          <w:szCs w:val="24"/>
          <w14:textFill>
            <w14:solidFill>
              <w14:schemeClr w14:val="tx1"/>
            </w14:solidFill>
          </w14:textFill>
        </w:rPr>
        <w:t>承诺函</w:t>
      </w:r>
      <w:bookmarkEnd w:id="232"/>
    </w:p>
    <w:p w14:paraId="07E71AEC">
      <w:pPr>
        <w:rPr>
          <w:i/>
          <w:iCs/>
          <w:color w:val="000000" w:themeColor="text1"/>
          <w:sz w:val="20"/>
          <w:szCs w:val="20"/>
          <w14:textFill>
            <w14:solidFill>
              <w14:schemeClr w14:val="tx1"/>
            </w14:solidFill>
          </w14:textFill>
        </w:rPr>
      </w:pPr>
      <w:r>
        <w:rPr>
          <w:rFonts w:hint="eastAsia"/>
          <w:i/>
          <w:iCs/>
          <w:color w:val="000000" w:themeColor="text1"/>
          <w:sz w:val="20"/>
          <w:szCs w:val="20"/>
          <w14:textFill>
            <w14:solidFill>
              <w14:schemeClr w14:val="tx1"/>
            </w14:solidFill>
          </w14:textFill>
        </w:rPr>
        <w:t>（对于采购需求或评分标准中写明“提供承诺”的条款，供应商可参照以下格式提供承诺，若要求提供证明材料或者方案的，须按要求提供，否则不予认可；以下格式文件由供应商根据需要选用。如不适用可删除）</w:t>
      </w:r>
    </w:p>
    <w:p w14:paraId="252ED464">
      <w:pPr>
        <w:pStyle w:val="37"/>
        <w:autoSpaceDN/>
        <w:ind w:firstLine="0" w:firstLineChars="0"/>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承诺函</w:t>
      </w:r>
    </w:p>
    <w:p w14:paraId="6EB8715E">
      <w:pPr>
        <w:rPr>
          <w:color w:val="000000" w:themeColor="text1"/>
          <w:sz w:val="20"/>
          <w:szCs w:val="20"/>
          <w:u w:val="single"/>
          <w14:textFill>
            <w14:solidFill>
              <w14:schemeClr w14:val="tx1"/>
            </w14:solidFill>
          </w14:textFill>
        </w:rPr>
      </w:pPr>
      <w:r>
        <w:rPr>
          <w:rFonts w:hint="eastAsia"/>
          <w:color w:val="000000" w:themeColor="text1"/>
          <w:sz w:val="20"/>
          <w:szCs w:val="20"/>
          <w14:textFill>
            <w14:solidFill>
              <w14:schemeClr w14:val="tx1"/>
            </w14:solidFill>
          </w14:textFill>
        </w:rPr>
        <w:t>致：</w:t>
      </w:r>
      <w:r>
        <w:rPr>
          <w:rFonts w:hint="eastAsia"/>
          <w:color w:val="000000" w:themeColor="text1"/>
          <w:sz w:val="20"/>
          <w:szCs w:val="20"/>
          <w:u w:val="single"/>
          <w14:textFill>
            <w14:solidFill>
              <w14:schemeClr w14:val="tx1"/>
            </w14:solidFill>
          </w14:textFill>
        </w:rPr>
        <w:t xml:space="preserve">      （采购人名称）</w:t>
      </w:r>
    </w:p>
    <w:p w14:paraId="1BF7E69B">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对于__________________项目（项目编号：__________________），我方郑重承诺如下：</w:t>
      </w:r>
    </w:p>
    <w:p w14:paraId="4A527DD9">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如中标/成交，我方承诺严格落实磋商文件以下条款：(建议逐条复制磋商文件相关条款原文)</w:t>
      </w:r>
    </w:p>
    <w:p w14:paraId="41AD81E1">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w:t>
      </w:r>
    </w:p>
    <w:p w14:paraId="5C8DD92D">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w:t>
      </w:r>
    </w:p>
    <w:p w14:paraId="1782CE67">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3.</w:t>
      </w:r>
    </w:p>
    <w:p w14:paraId="4FFD070D">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p>
    <w:p w14:paraId="2D4C7C89">
      <w:pPr>
        <w:ind w:firstLine="48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特此承诺。</w:t>
      </w:r>
    </w:p>
    <w:p w14:paraId="2DA74AB9">
      <w:pPr>
        <w:pStyle w:val="11"/>
        <w:rPr>
          <w:color w:val="000000" w:themeColor="text1"/>
          <w:sz w:val="20"/>
          <w:szCs w:val="20"/>
          <w14:textFill>
            <w14:solidFill>
              <w14:schemeClr w14:val="tx1"/>
            </w14:solidFill>
          </w14:textFill>
        </w:rPr>
      </w:pPr>
    </w:p>
    <w:p w14:paraId="4E991DDC">
      <w:pPr>
        <w:pStyle w:val="37"/>
        <w:autoSpaceDN/>
        <w:spacing w:line="480" w:lineRule="auto"/>
        <w:ind w:firstLine="0" w:firstLineChars="0"/>
        <w:jc w:val="right"/>
        <w:rPr>
          <w:color w:val="000000" w:themeColor="text1"/>
          <w:sz w:val="20"/>
          <w:szCs w:val="20"/>
          <w14:textFill>
            <w14:solidFill>
              <w14:schemeClr w14:val="tx1"/>
            </w14:solidFill>
          </w14:textFill>
        </w:rPr>
      </w:pPr>
      <w:bookmarkStart w:id="233" w:name="_Hlk112024143"/>
      <w:bookmarkEnd w:id="233"/>
      <w:r>
        <w:rPr>
          <w:rFonts w:hint="eastAsia"/>
          <w:color w:val="000000" w:themeColor="text1"/>
          <w:kern w:val="0"/>
          <w:sz w:val="20"/>
          <w:szCs w:val="20"/>
          <w14:textFill>
            <w14:solidFill>
              <w14:schemeClr w14:val="tx1"/>
            </w14:solidFill>
          </w14:textFill>
        </w:rPr>
        <w:t>供应商</w:t>
      </w:r>
      <w:r>
        <w:rPr>
          <w:rFonts w:hint="eastAsia"/>
          <w:color w:val="000000" w:themeColor="text1"/>
          <w:sz w:val="20"/>
          <w:szCs w:val="20"/>
          <w14:textFill>
            <w14:solidFill>
              <w14:schemeClr w14:val="tx1"/>
            </w14:solidFill>
          </w14:textFill>
        </w:rPr>
        <w:t>法定代表人或其授权委托人（签字或盖章）：</w:t>
      </w:r>
      <w:r>
        <w:rPr>
          <w:rFonts w:hint="eastAsia"/>
          <w:color w:val="000000" w:themeColor="text1"/>
          <w:sz w:val="20"/>
          <w:szCs w:val="20"/>
          <w:u w:val="single"/>
          <w14:textFill>
            <w14:solidFill>
              <w14:schemeClr w14:val="tx1"/>
            </w14:solidFill>
          </w14:textFill>
        </w:rPr>
        <w:t xml:space="preserve">                    .</w:t>
      </w:r>
    </w:p>
    <w:p w14:paraId="792508DA">
      <w:pPr>
        <w:pStyle w:val="37"/>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12C1C919">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54B8B383">
      <w:pPr>
        <w:pStyle w:val="11"/>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br w:type="page"/>
      </w:r>
    </w:p>
    <w:p w14:paraId="09059D91">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34" w:name="_Toc259090991"/>
      <w:bookmarkEnd w:id="234"/>
      <w:bookmarkStart w:id="235" w:name="_Toc462677246"/>
      <w:bookmarkEnd w:id="235"/>
      <w:bookmarkStart w:id="236" w:name="_Toc103033251"/>
      <w:bookmarkEnd w:id="236"/>
      <w:bookmarkStart w:id="237" w:name="_Toc12191"/>
      <w:bookmarkEnd w:id="237"/>
      <w:bookmarkStart w:id="238" w:name="_Toc202816998"/>
      <w:bookmarkEnd w:id="238"/>
      <w:bookmarkStart w:id="239" w:name="_Toc202819880"/>
      <w:bookmarkEnd w:id="239"/>
      <w:bookmarkStart w:id="240" w:name="_Toc202251077"/>
      <w:bookmarkEnd w:id="240"/>
      <w:bookmarkStart w:id="241" w:name="_Toc425161124"/>
      <w:bookmarkEnd w:id="241"/>
      <w:bookmarkStart w:id="242" w:name="_Toc104040720"/>
      <w:bookmarkEnd w:id="242"/>
      <w:bookmarkStart w:id="243" w:name="_Toc202820353"/>
      <w:bookmarkEnd w:id="243"/>
      <w:bookmarkStart w:id="244" w:name="_Toc202251702"/>
      <w:bookmarkEnd w:id="244"/>
      <w:bookmarkStart w:id="245" w:name="_Toc202254107"/>
      <w:bookmarkEnd w:id="245"/>
      <w:bookmarkStart w:id="246" w:name="_Toc202252036"/>
      <w:bookmarkStart w:id="247" w:name="_Toc10975"/>
      <w:r>
        <w:rPr>
          <w:rFonts w:hint="eastAsia" w:ascii="宋体" w:eastAsia="宋体"/>
          <w:color w:val="000000" w:themeColor="text1"/>
          <w:sz w:val="24"/>
          <w:szCs w:val="24"/>
          <w14:textFill>
            <w14:solidFill>
              <w14:schemeClr w14:val="tx1"/>
            </w14:solidFill>
          </w14:textFill>
        </w:rPr>
        <w:t>类似</w:t>
      </w:r>
      <w:bookmarkEnd w:id="246"/>
      <w:r>
        <w:rPr>
          <w:rFonts w:hint="eastAsia" w:ascii="宋体" w:eastAsia="宋体"/>
          <w:color w:val="000000" w:themeColor="text1"/>
          <w:sz w:val="24"/>
          <w:szCs w:val="24"/>
          <w14:textFill>
            <w14:solidFill>
              <w14:schemeClr w14:val="tx1"/>
            </w14:solidFill>
          </w14:textFill>
        </w:rPr>
        <w:t>项目业绩</w:t>
      </w:r>
      <w:bookmarkEnd w:id="247"/>
    </w:p>
    <w:tbl>
      <w:tblPr>
        <w:tblStyle w:val="29"/>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785"/>
        <w:gridCol w:w="1316"/>
        <w:gridCol w:w="1313"/>
        <w:gridCol w:w="1604"/>
        <w:gridCol w:w="2042"/>
        <w:gridCol w:w="1463"/>
      </w:tblGrid>
      <w:tr w14:paraId="1CD3E25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51C3F679">
            <w:pPr>
              <w:jc w:val="center"/>
              <w:rPr>
                <w:rFonts w:cs="等线"/>
                <w:b/>
                <w:bCs/>
                <w:color w:val="000000" w:themeColor="text1"/>
                <w:sz w:val="20"/>
                <w:szCs w:val="20"/>
                <w14:textFill>
                  <w14:solidFill>
                    <w14:schemeClr w14:val="tx1"/>
                  </w14:solidFill>
                </w14:textFill>
              </w:rPr>
            </w:pPr>
            <w:r>
              <w:rPr>
                <w:rFonts w:hint="eastAsia" w:cs="等线"/>
                <w:b/>
                <w:bCs/>
                <w:color w:val="000000" w:themeColor="text1"/>
                <w:sz w:val="20"/>
                <w:szCs w:val="20"/>
                <w14:textFill>
                  <w14:solidFill>
                    <w14:schemeClr w14:val="tx1"/>
                  </w14:solidFill>
                </w14:textFill>
              </w:rPr>
              <w:t>序号</w:t>
            </w:r>
          </w:p>
        </w:tc>
        <w:tc>
          <w:tcPr>
            <w:tcW w:w="772"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152D40AA">
            <w:pPr>
              <w:jc w:val="center"/>
              <w:rPr>
                <w:rFonts w:cs="等线"/>
                <w:b/>
                <w:bCs/>
                <w:color w:val="000000" w:themeColor="text1"/>
                <w:sz w:val="20"/>
                <w:szCs w:val="20"/>
                <w14:textFill>
                  <w14:solidFill>
                    <w14:schemeClr w14:val="tx1"/>
                  </w14:solidFill>
                </w14:textFill>
              </w:rPr>
            </w:pPr>
            <w:r>
              <w:rPr>
                <w:rFonts w:hint="eastAsia" w:cs="等线"/>
                <w:b/>
                <w:bCs/>
                <w:color w:val="000000" w:themeColor="text1"/>
                <w:sz w:val="20"/>
                <w:szCs w:val="20"/>
                <w14:textFill>
                  <w14:solidFill>
                    <w14:schemeClr w14:val="tx1"/>
                  </w14:solidFill>
                </w14:textFill>
              </w:rPr>
              <w:t>客户名称</w:t>
            </w:r>
          </w:p>
        </w:tc>
        <w:tc>
          <w:tcPr>
            <w:tcW w:w="770"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01DF995C">
            <w:pPr>
              <w:jc w:val="center"/>
              <w:rPr>
                <w:rFonts w:cs="等线"/>
                <w:b/>
                <w:bCs/>
                <w:color w:val="000000" w:themeColor="text1"/>
                <w:sz w:val="20"/>
                <w:szCs w:val="20"/>
                <w14:textFill>
                  <w14:solidFill>
                    <w14:schemeClr w14:val="tx1"/>
                  </w14:solidFill>
                </w14:textFill>
              </w:rPr>
            </w:pPr>
            <w:r>
              <w:rPr>
                <w:rFonts w:hint="eastAsia" w:cs="等线"/>
                <w:b/>
                <w:bCs/>
                <w:color w:val="000000" w:themeColor="text1"/>
                <w:sz w:val="20"/>
                <w:szCs w:val="20"/>
                <w14:textFill>
                  <w14:solidFill>
                    <w14:schemeClr w14:val="tx1"/>
                  </w14:solidFill>
                </w14:textFill>
              </w:rPr>
              <w:t>合同名称</w:t>
            </w:r>
          </w:p>
        </w:tc>
        <w:tc>
          <w:tcPr>
            <w:tcW w:w="941"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1EDD7368">
            <w:pPr>
              <w:jc w:val="center"/>
              <w:rPr>
                <w:rFonts w:cs="等线"/>
                <w:b/>
                <w:bCs/>
                <w:color w:val="000000" w:themeColor="text1"/>
                <w:sz w:val="20"/>
                <w:szCs w:val="20"/>
                <w14:textFill>
                  <w14:solidFill>
                    <w14:schemeClr w14:val="tx1"/>
                  </w14:solidFill>
                </w14:textFill>
              </w:rPr>
            </w:pPr>
            <w:r>
              <w:rPr>
                <w:rFonts w:hint="eastAsia" w:cs="等线"/>
                <w:b/>
                <w:bCs/>
                <w:color w:val="000000" w:themeColor="text1"/>
                <w:sz w:val="20"/>
                <w:szCs w:val="20"/>
                <w14:textFill>
                  <w14:solidFill>
                    <w14:schemeClr w14:val="tx1"/>
                  </w14:solidFill>
                </w14:textFill>
              </w:rPr>
              <w:t>合同内容</w:t>
            </w:r>
          </w:p>
        </w:tc>
        <w:tc>
          <w:tcPr>
            <w:tcW w:w="1198"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33E4B9D3">
            <w:pPr>
              <w:jc w:val="center"/>
              <w:rPr>
                <w:rFonts w:cs="等线"/>
                <w:b/>
                <w:bCs/>
                <w:color w:val="000000" w:themeColor="text1"/>
                <w:sz w:val="20"/>
                <w:szCs w:val="20"/>
                <w14:textFill>
                  <w14:solidFill>
                    <w14:schemeClr w14:val="tx1"/>
                  </w14:solidFill>
                </w14:textFill>
              </w:rPr>
            </w:pPr>
            <w:r>
              <w:rPr>
                <w:rFonts w:hint="eastAsia" w:cs="等线"/>
                <w:b/>
                <w:bCs/>
                <w:color w:val="000000" w:themeColor="text1"/>
                <w:sz w:val="20"/>
                <w:szCs w:val="20"/>
                <w14:textFill>
                  <w14:solidFill>
                    <w14:schemeClr w14:val="tx1"/>
                  </w14:solidFill>
                </w14:textFill>
              </w:rPr>
              <w:t>合同签订时间</w:t>
            </w:r>
          </w:p>
        </w:tc>
        <w:tc>
          <w:tcPr>
            <w:tcW w:w="858"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0012E8B0">
            <w:pPr>
              <w:jc w:val="center"/>
              <w:rPr>
                <w:rFonts w:cs="等线"/>
                <w:b/>
                <w:bCs/>
                <w:color w:val="000000" w:themeColor="text1"/>
                <w:sz w:val="20"/>
                <w:szCs w:val="20"/>
                <w14:textFill>
                  <w14:solidFill>
                    <w14:schemeClr w14:val="tx1"/>
                  </w14:solidFill>
                </w14:textFill>
              </w:rPr>
            </w:pPr>
            <w:r>
              <w:rPr>
                <w:rFonts w:hint="eastAsia" w:cs="等线"/>
                <w:b/>
                <w:bCs/>
                <w:color w:val="000000" w:themeColor="text1"/>
                <w:sz w:val="20"/>
                <w:szCs w:val="20"/>
                <w14:textFill>
                  <w14:solidFill>
                    <w14:schemeClr w14:val="tx1"/>
                  </w14:solidFill>
                </w14:textFill>
              </w:rPr>
              <w:t>备注</w:t>
            </w:r>
          </w:p>
        </w:tc>
      </w:tr>
      <w:tr w14:paraId="1654563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CA9E41D">
            <w:pPr>
              <w:jc w:val="center"/>
              <w:rPr>
                <w:rFonts w:cs="等线"/>
                <w:color w:val="000000" w:themeColor="text1"/>
                <w:sz w:val="20"/>
                <w:szCs w:val="20"/>
                <w14:textFill>
                  <w14:solidFill>
                    <w14:schemeClr w14:val="tx1"/>
                  </w14:solidFill>
                </w14:textFill>
              </w:rPr>
            </w:pPr>
            <w:r>
              <w:rPr>
                <w:rFonts w:hint="eastAsia" w:cs="等线"/>
                <w:color w:val="000000" w:themeColor="text1"/>
                <w:sz w:val="20"/>
                <w:szCs w:val="20"/>
                <w14:textFill>
                  <w14:solidFill>
                    <w14:schemeClr w14:val="tx1"/>
                  </w14:solidFill>
                </w14:textFill>
              </w:rPr>
              <w:t>1</w:t>
            </w:r>
          </w:p>
        </w:tc>
        <w:tc>
          <w:tcPr>
            <w:tcW w:w="772"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1B5D73C">
            <w:pPr>
              <w:jc w:val="center"/>
              <w:rPr>
                <w:rFonts w:cs="等线"/>
                <w:color w:val="000000" w:themeColor="text1"/>
                <w:sz w:val="20"/>
                <w:szCs w:val="20"/>
                <w14:textFill>
                  <w14:solidFill>
                    <w14:schemeClr w14:val="tx1"/>
                  </w14:solidFill>
                </w14:textFill>
              </w:rPr>
            </w:pPr>
          </w:p>
        </w:tc>
        <w:tc>
          <w:tcPr>
            <w:tcW w:w="770"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3E329F6E">
            <w:pPr>
              <w:jc w:val="center"/>
              <w:rPr>
                <w:rFonts w:cs="等线"/>
                <w:color w:val="000000" w:themeColor="text1"/>
                <w:sz w:val="20"/>
                <w:szCs w:val="20"/>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3E6C15DC">
            <w:pPr>
              <w:jc w:val="center"/>
              <w:rPr>
                <w:rFonts w:cs="等线"/>
                <w:color w:val="000000" w:themeColor="text1"/>
                <w:sz w:val="20"/>
                <w:szCs w:val="20"/>
                <w14:textFill>
                  <w14:solidFill>
                    <w14:schemeClr w14:val="tx1"/>
                  </w14:solidFill>
                </w14:textFill>
              </w:rPr>
            </w:pPr>
          </w:p>
        </w:tc>
        <w:tc>
          <w:tcPr>
            <w:tcW w:w="119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6D060EBD">
            <w:pPr>
              <w:jc w:val="center"/>
              <w:rPr>
                <w:rFonts w:cs="等线"/>
                <w:color w:val="000000" w:themeColor="text1"/>
                <w:sz w:val="20"/>
                <w:szCs w:val="20"/>
                <w14:textFill>
                  <w14:solidFill>
                    <w14:schemeClr w14:val="tx1"/>
                  </w14:solidFill>
                </w14:textFill>
              </w:rPr>
            </w:pPr>
          </w:p>
        </w:tc>
        <w:tc>
          <w:tcPr>
            <w:tcW w:w="85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1063C298">
            <w:pPr>
              <w:jc w:val="center"/>
              <w:rPr>
                <w:rFonts w:cs="等线"/>
                <w:color w:val="000000" w:themeColor="text1"/>
                <w:sz w:val="20"/>
                <w:szCs w:val="20"/>
                <w14:textFill>
                  <w14:solidFill>
                    <w14:schemeClr w14:val="tx1"/>
                  </w14:solidFill>
                </w14:textFill>
              </w:rPr>
            </w:pPr>
          </w:p>
        </w:tc>
      </w:tr>
      <w:tr w14:paraId="019AFDB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5887A1B1">
            <w:pPr>
              <w:jc w:val="center"/>
              <w:rPr>
                <w:rFonts w:cs="等线"/>
                <w:color w:val="000000" w:themeColor="text1"/>
                <w:sz w:val="20"/>
                <w:szCs w:val="20"/>
                <w14:textFill>
                  <w14:solidFill>
                    <w14:schemeClr w14:val="tx1"/>
                  </w14:solidFill>
                </w14:textFill>
              </w:rPr>
            </w:pPr>
            <w:r>
              <w:rPr>
                <w:rFonts w:hint="eastAsia" w:cs="等线"/>
                <w:color w:val="000000" w:themeColor="text1"/>
                <w:sz w:val="20"/>
                <w:szCs w:val="20"/>
                <w14:textFill>
                  <w14:solidFill>
                    <w14:schemeClr w14:val="tx1"/>
                  </w14:solidFill>
                </w14:textFill>
              </w:rPr>
              <w:t>2</w:t>
            </w:r>
          </w:p>
        </w:tc>
        <w:tc>
          <w:tcPr>
            <w:tcW w:w="772"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F7F5EC7">
            <w:pPr>
              <w:jc w:val="center"/>
              <w:rPr>
                <w:rFonts w:cs="等线"/>
                <w:color w:val="000000" w:themeColor="text1"/>
                <w:sz w:val="20"/>
                <w:szCs w:val="20"/>
                <w14:textFill>
                  <w14:solidFill>
                    <w14:schemeClr w14:val="tx1"/>
                  </w14:solidFill>
                </w14:textFill>
              </w:rPr>
            </w:pPr>
          </w:p>
        </w:tc>
        <w:tc>
          <w:tcPr>
            <w:tcW w:w="770"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9D7F80D">
            <w:pPr>
              <w:jc w:val="center"/>
              <w:rPr>
                <w:rFonts w:cs="等线"/>
                <w:color w:val="000000" w:themeColor="text1"/>
                <w:sz w:val="20"/>
                <w:szCs w:val="20"/>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8BBF807">
            <w:pPr>
              <w:jc w:val="center"/>
              <w:rPr>
                <w:rFonts w:cs="等线"/>
                <w:color w:val="000000" w:themeColor="text1"/>
                <w:sz w:val="20"/>
                <w:szCs w:val="20"/>
                <w14:textFill>
                  <w14:solidFill>
                    <w14:schemeClr w14:val="tx1"/>
                  </w14:solidFill>
                </w14:textFill>
              </w:rPr>
            </w:pPr>
          </w:p>
        </w:tc>
        <w:tc>
          <w:tcPr>
            <w:tcW w:w="119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633D920">
            <w:pPr>
              <w:jc w:val="center"/>
              <w:rPr>
                <w:rFonts w:cs="等线"/>
                <w:color w:val="000000" w:themeColor="text1"/>
                <w:sz w:val="20"/>
                <w:szCs w:val="20"/>
                <w14:textFill>
                  <w14:solidFill>
                    <w14:schemeClr w14:val="tx1"/>
                  </w14:solidFill>
                </w14:textFill>
              </w:rPr>
            </w:pPr>
          </w:p>
        </w:tc>
        <w:tc>
          <w:tcPr>
            <w:tcW w:w="85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B2A9B76">
            <w:pPr>
              <w:jc w:val="center"/>
              <w:rPr>
                <w:rFonts w:cs="等线"/>
                <w:color w:val="000000" w:themeColor="text1"/>
                <w:sz w:val="20"/>
                <w:szCs w:val="20"/>
                <w14:textFill>
                  <w14:solidFill>
                    <w14:schemeClr w14:val="tx1"/>
                  </w14:solidFill>
                </w14:textFill>
              </w:rPr>
            </w:pPr>
          </w:p>
        </w:tc>
      </w:tr>
      <w:tr w14:paraId="56E0346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20FCB32">
            <w:pPr>
              <w:jc w:val="center"/>
              <w:rPr>
                <w:rFonts w:cs="等线"/>
                <w:color w:val="000000" w:themeColor="text1"/>
                <w:sz w:val="20"/>
                <w:szCs w:val="20"/>
                <w14:textFill>
                  <w14:solidFill>
                    <w14:schemeClr w14:val="tx1"/>
                  </w14:solidFill>
                </w14:textFill>
              </w:rPr>
            </w:pPr>
            <w:r>
              <w:rPr>
                <w:rFonts w:hint="eastAsia" w:cs="等线"/>
                <w:color w:val="000000" w:themeColor="text1"/>
                <w:sz w:val="20"/>
                <w:szCs w:val="20"/>
                <w14:textFill>
                  <w14:solidFill>
                    <w14:schemeClr w14:val="tx1"/>
                  </w14:solidFill>
                </w14:textFill>
              </w:rPr>
              <w:t>3</w:t>
            </w:r>
          </w:p>
        </w:tc>
        <w:tc>
          <w:tcPr>
            <w:tcW w:w="772"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65095F25">
            <w:pPr>
              <w:jc w:val="center"/>
              <w:rPr>
                <w:rFonts w:cs="等线"/>
                <w:color w:val="000000" w:themeColor="text1"/>
                <w:sz w:val="20"/>
                <w:szCs w:val="20"/>
                <w14:textFill>
                  <w14:solidFill>
                    <w14:schemeClr w14:val="tx1"/>
                  </w14:solidFill>
                </w14:textFill>
              </w:rPr>
            </w:pPr>
          </w:p>
        </w:tc>
        <w:tc>
          <w:tcPr>
            <w:tcW w:w="770"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04076E39">
            <w:pPr>
              <w:jc w:val="center"/>
              <w:rPr>
                <w:rFonts w:cs="等线"/>
                <w:color w:val="000000" w:themeColor="text1"/>
                <w:sz w:val="20"/>
                <w:szCs w:val="20"/>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41C363C3">
            <w:pPr>
              <w:jc w:val="center"/>
              <w:rPr>
                <w:rFonts w:cs="等线"/>
                <w:color w:val="000000" w:themeColor="text1"/>
                <w:sz w:val="20"/>
                <w:szCs w:val="20"/>
                <w14:textFill>
                  <w14:solidFill>
                    <w14:schemeClr w14:val="tx1"/>
                  </w14:solidFill>
                </w14:textFill>
              </w:rPr>
            </w:pPr>
          </w:p>
        </w:tc>
        <w:tc>
          <w:tcPr>
            <w:tcW w:w="119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3E2661DC">
            <w:pPr>
              <w:jc w:val="center"/>
              <w:rPr>
                <w:rFonts w:cs="等线"/>
                <w:color w:val="000000" w:themeColor="text1"/>
                <w:sz w:val="20"/>
                <w:szCs w:val="20"/>
                <w14:textFill>
                  <w14:solidFill>
                    <w14:schemeClr w14:val="tx1"/>
                  </w14:solidFill>
                </w14:textFill>
              </w:rPr>
            </w:pPr>
          </w:p>
        </w:tc>
        <w:tc>
          <w:tcPr>
            <w:tcW w:w="85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54FCCC54">
            <w:pPr>
              <w:jc w:val="center"/>
              <w:rPr>
                <w:rFonts w:cs="等线"/>
                <w:color w:val="000000" w:themeColor="text1"/>
                <w:sz w:val="20"/>
                <w:szCs w:val="20"/>
                <w14:textFill>
                  <w14:solidFill>
                    <w14:schemeClr w14:val="tx1"/>
                  </w14:solidFill>
                </w14:textFill>
              </w:rPr>
            </w:pPr>
          </w:p>
        </w:tc>
      </w:tr>
      <w:tr w14:paraId="580E67F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336AFFB">
            <w:pPr>
              <w:jc w:val="center"/>
              <w:rPr>
                <w:rFonts w:cs="等线"/>
                <w:color w:val="000000" w:themeColor="text1"/>
                <w:sz w:val="20"/>
                <w:szCs w:val="20"/>
                <w14:textFill>
                  <w14:solidFill>
                    <w14:schemeClr w14:val="tx1"/>
                  </w14:solidFill>
                </w14:textFill>
              </w:rPr>
            </w:pPr>
            <w:r>
              <w:rPr>
                <w:rFonts w:hint="eastAsia" w:cs="等线"/>
                <w:color w:val="000000" w:themeColor="text1"/>
                <w:sz w:val="20"/>
                <w:szCs w:val="20"/>
                <w14:textFill>
                  <w14:solidFill>
                    <w14:schemeClr w14:val="tx1"/>
                  </w14:solidFill>
                </w14:textFill>
              </w:rPr>
              <w:t>…</w:t>
            </w:r>
          </w:p>
        </w:tc>
        <w:tc>
          <w:tcPr>
            <w:tcW w:w="772"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13531FB6">
            <w:pPr>
              <w:jc w:val="center"/>
              <w:rPr>
                <w:rFonts w:cs="等线"/>
                <w:color w:val="000000" w:themeColor="text1"/>
                <w:sz w:val="20"/>
                <w:szCs w:val="20"/>
                <w14:textFill>
                  <w14:solidFill>
                    <w14:schemeClr w14:val="tx1"/>
                  </w14:solidFill>
                </w14:textFill>
              </w:rPr>
            </w:pPr>
          </w:p>
        </w:tc>
        <w:tc>
          <w:tcPr>
            <w:tcW w:w="770"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13A7A575">
            <w:pPr>
              <w:jc w:val="center"/>
              <w:rPr>
                <w:rFonts w:cs="等线"/>
                <w:color w:val="000000" w:themeColor="text1"/>
                <w:sz w:val="20"/>
                <w:szCs w:val="20"/>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8E58B5A">
            <w:pPr>
              <w:jc w:val="center"/>
              <w:rPr>
                <w:rFonts w:cs="等线"/>
                <w:color w:val="000000" w:themeColor="text1"/>
                <w:sz w:val="20"/>
                <w:szCs w:val="20"/>
                <w14:textFill>
                  <w14:solidFill>
                    <w14:schemeClr w14:val="tx1"/>
                  </w14:solidFill>
                </w14:textFill>
              </w:rPr>
            </w:pPr>
          </w:p>
        </w:tc>
        <w:tc>
          <w:tcPr>
            <w:tcW w:w="119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5748F0FB">
            <w:pPr>
              <w:jc w:val="center"/>
              <w:rPr>
                <w:rFonts w:cs="等线"/>
                <w:color w:val="000000" w:themeColor="text1"/>
                <w:sz w:val="20"/>
                <w:szCs w:val="20"/>
                <w14:textFill>
                  <w14:solidFill>
                    <w14:schemeClr w14:val="tx1"/>
                  </w14:solidFill>
                </w14:textFill>
              </w:rPr>
            </w:pPr>
          </w:p>
        </w:tc>
        <w:tc>
          <w:tcPr>
            <w:tcW w:w="85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F31A96A">
            <w:pPr>
              <w:jc w:val="center"/>
              <w:rPr>
                <w:rFonts w:cs="等线"/>
                <w:color w:val="000000" w:themeColor="text1"/>
                <w:sz w:val="20"/>
                <w:szCs w:val="20"/>
                <w14:textFill>
                  <w14:solidFill>
                    <w14:schemeClr w14:val="tx1"/>
                  </w14:solidFill>
                </w14:textFill>
              </w:rPr>
            </w:pPr>
          </w:p>
        </w:tc>
      </w:tr>
    </w:tbl>
    <w:p w14:paraId="36A1C698">
      <w:pPr>
        <w:rPr>
          <w:color w:val="000000" w:themeColor="text1"/>
          <w14:textFill>
            <w14:solidFill>
              <w14:schemeClr w14:val="tx1"/>
            </w14:solidFill>
          </w14:textFill>
        </w:rPr>
      </w:pPr>
      <w:r>
        <w:rPr>
          <w:rFonts w:hint="eastAsia"/>
          <w:color w:val="000000" w:themeColor="text1"/>
          <w14:textFill>
            <w14:solidFill>
              <w14:schemeClr w14:val="tx1"/>
            </w14:solidFill>
          </w14:textFill>
        </w:rPr>
        <w:t>说明：根据评审标准要求提供相关证明材料。</w:t>
      </w:r>
    </w:p>
    <w:p w14:paraId="7513F30C">
      <w:pPr>
        <w:pStyle w:val="11"/>
        <w:rPr>
          <w:color w:val="000000" w:themeColor="text1"/>
          <w14:textFill>
            <w14:solidFill>
              <w14:schemeClr w14:val="tx1"/>
            </w14:solidFill>
          </w14:textFill>
        </w:rPr>
      </w:pPr>
    </w:p>
    <w:p w14:paraId="6C57F6C5">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48" w:name="_Toc36625609"/>
      <w:bookmarkEnd w:id="248"/>
      <w:bookmarkStart w:id="249" w:name="_Toc3927"/>
      <w:bookmarkEnd w:id="249"/>
      <w:bookmarkStart w:id="250" w:name="_Toc76397766"/>
      <w:bookmarkEnd w:id="250"/>
      <w:bookmarkStart w:id="251" w:name="_Toc104040719"/>
      <w:bookmarkEnd w:id="251"/>
      <w:bookmarkStart w:id="252" w:name="_Toc103033247"/>
      <w:bookmarkEnd w:id="252"/>
      <w:bookmarkStart w:id="253" w:name="_Toc67046919"/>
      <w:bookmarkEnd w:id="253"/>
      <w:bookmarkStart w:id="254" w:name="_Toc104040721"/>
      <w:bookmarkEnd w:id="254"/>
      <w:bookmarkStart w:id="255" w:name="_Toc103033254"/>
      <w:bookmarkEnd w:id="255"/>
      <w:bookmarkStart w:id="256" w:name="_Toc68789544"/>
      <w:bookmarkEnd w:id="256"/>
      <w:bookmarkStart w:id="257" w:name="_Toc70528472"/>
      <w:bookmarkEnd w:id="257"/>
      <w:bookmarkStart w:id="258" w:name="_Toc3899"/>
      <w:r>
        <w:rPr>
          <w:rFonts w:hint="eastAsia" w:ascii="宋体" w:eastAsia="宋体"/>
          <w:color w:val="000000" w:themeColor="text1"/>
          <w:sz w:val="24"/>
          <w:szCs w:val="24"/>
          <w14:textFill>
            <w14:solidFill>
              <w14:schemeClr w14:val="tx1"/>
            </w14:solidFill>
          </w14:textFill>
        </w:rPr>
        <w:t>其他商务和技术评审内容</w:t>
      </w:r>
      <w:bookmarkEnd w:id="258"/>
    </w:p>
    <w:p w14:paraId="5D083301">
      <w:pPr>
        <w:rPr>
          <w:i/>
          <w:iCs/>
          <w:color w:val="000000" w:themeColor="text1"/>
          <w14:textFill>
            <w14:solidFill>
              <w14:schemeClr w14:val="tx1"/>
            </w14:solidFill>
          </w14:textFill>
        </w:rPr>
      </w:pPr>
      <w:r>
        <w:rPr>
          <w:rFonts w:hint="eastAsia"/>
          <w:i/>
          <w:iCs/>
          <w:color w:val="000000" w:themeColor="text1"/>
          <w14:textFill>
            <w14:solidFill>
              <w14:schemeClr w14:val="tx1"/>
            </w14:solidFill>
          </w14:textFill>
        </w:rPr>
        <w:t>（按照磋商文件评审标准提供相关材料。）</w:t>
      </w:r>
    </w:p>
    <w:p w14:paraId="413A0D25">
      <w:pPr>
        <w:pStyle w:val="11"/>
        <w:rPr>
          <w:color w:val="000000" w:themeColor="text1"/>
          <w14:textFill>
            <w14:solidFill>
              <w14:schemeClr w14:val="tx1"/>
            </w14:solidFill>
          </w14:textFill>
        </w:rPr>
      </w:pPr>
    </w:p>
    <w:p w14:paraId="3732ED23">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59" w:name="_Toc15427"/>
      <w:bookmarkEnd w:id="259"/>
      <w:bookmarkStart w:id="260" w:name="_Toc15916"/>
      <w:r>
        <w:rPr>
          <w:rFonts w:hint="eastAsia" w:ascii="宋体" w:eastAsia="宋体"/>
          <w:color w:val="000000" w:themeColor="text1"/>
          <w:sz w:val="24"/>
          <w:szCs w:val="24"/>
          <w14:textFill>
            <w14:solidFill>
              <w14:schemeClr w14:val="tx1"/>
            </w14:solidFill>
          </w14:textFill>
        </w:rPr>
        <w:t>其它重要事项说明及承诺</w:t>
      </w:r>
      <w:bookmarkEnd w:id="260"/>
    </w:p>
    <w:p w14:paraId="4A5CD6AC">
      <w:pPr>
        <w:rPr>
          <w:color w:val="000000" w:themeColor="text1"/>
          <w14:textFill>
            <w14:solidFill>
              <w14:schemeClr w14:val="tx1"/>
            </w14:solidFill>
          </w14:textFill>
        </w:rPr>
      </w:pPr>
      <w:r>
        <w:rPr>
          <w:rFonts w:hint="eastAsia"/>
          <w:i/>
          <w:iCs/>
          <w:color w:val="000000" w:themeColor="text1"/>
          <w14:textFill>
            <w14:solidFill>
              <w14:schemeClr w14:val="tx1"/>
            </w14:solidFill>
          </w14:textFill>
        </w:rPr>
        <w:t>(如有，请扼要叙述，格式自拟）</w:t>
      </w:r>
    </w:p>
    <w:p w14:paraId="1CACD854">
      <w:pPr>
        <w:jc w:val="left"/>
        <w:rPr>
          <w:b/>
          <w:bCs/>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br w:type="page"/>
      </w:r>
    </w:p>
    <w:p w14:paraId="3285E590">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61" w:name="_Toc103033255"/>
      <w:bookmarkEnd w:id="261"/>
      <w:bookmarkStart w:id="262" w:name="_Toc104040722"/>
      <w:bookmarkEnd w:id="262"/>
      <w:bookmarkStart w:id="263" w:name="_Toc9200"/>
      <w:bookmarkStart w:id="264" w:name="_Toc5623"/>
      <w:r>
        <w:rPr>
          <w:rFonts w:hint="eastAsia" w:ascii="宋体" w:eastAsia="宋体"/>
          <w:color w:val="000000" w:themeColor="text1"/>
          <w:sz w:val="24"/>
          <w:szCs w:val="24"/>
          <w14:textFill>
            <w14:solidFill>
              <w14:schemeClr w14:val="tx1"/>
            </w14:solidFill>
          </w14:textFill>
        </w:rPr>
        <w:t>采购代理服务费</w:t>
      </w:r>
      <w:bookmarkEnd w:id="263"/>
      <w:r>
        <w:rPr>
          <w:rFonts w:hint="eastAsia" w:ascii="宋体" w:eastAsia="宋体"/>
          <w:color w:val="000000" w:themeColor="text1"/>
          <w:sz w:val="24"/>
          <w:szCs w:val="24"/>
          <w14:textFill>
            <w14:solidFill>
              <w14:schemeClr w14:val="tx1"/>
            </w14:solidFill>
          </w14:textFill>
        </w:rPr>
        <w:t>支付承诺书</w:t>
      </w:r>
      <w:bookmarkEnd w:id="264"/>
    </w:p>
    <w:p w14:paraId="42E22D24">
      <w:pPr>
        <w:jc w:val="center"/>
        <w:rPr>
          <w:b/>
          <w:bCs/>
          <w:color w:val="000000" w:themeColor="text1"/>
          <w:sz w:val="28"/>
          <w:szCs w:val="28"/>
          <w14:textFill>
            <w14:solidFill>
              <w14:schemeClr w14:val="tx1"/>
            </w14:solidFill>
          </w14:textFill>
        </w:rPr>
      </w:pPr>
    </w:p>
    <w:p w14:paraId="02A5E485">
      <w:pPr>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采购代理服务费支付承诺书</w:t>
      </w:r>
    </w:p>
    <w:p w14:paraId="481624BF">
      <w:pP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致：公诚管理咨询有限公司</w:t>
      </w:r>
    </w:p>
    <w:p w14:paraId="4D7E6D9F">
      <w:pPr>
        <w:pStyle w:val="28"/>
        <w:spacing w:before="0" w:beforeAutospacing="0" w:after="0" w:line="360" w:lineRule="auto"/>
        <w:ind w:left="0" w:leftChars="0" w:firstLine="400"/>
        <w:rPr>
          <w:color w:val="000000" w:themeColor="text1"/>
          <w:sz w:val="20"/>
          <w:szCs w:val="20"/>
          <w14:textFill>
            <w14:solidFill>
              <w14:schemeClr w14:val="tx1"/>
            </w14:solidFill>
          </w14:textFill>
        </w:rPr>
      </w:pPr>
    </w:p>
    <w:p w14:paraId="7CC125D7">
      <w:pPr>
        <w:pStyle w:val="28"/>
        <w:spacing w:before="0" w:beforeAutospacing="0"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我方作为投标（响应）供应商参加贵公司（公诚管理咨询有限公司）组织的</w:t>
      </w:r>
      <w:r>
        <w:rPr>
          <w:rFonts w:hint="eastAsia"/>
          <w:color w:val="000000" w:themeColor="text1"/>
          <w:sz w:val="20"/>
          <w:szCs w:val="20"/>
          <w:u w:val="single"/>
          <w14:textFill>
            <w14:solidFill>
              <w14:schemeClr w14:val="tx1"/>
            </w14:solidFill>
          </w14:textFill>
        </w:rPr>
        <w:t xml:space="preserve">       （项目名称）</w:t>
      </w:r>
      <w:r>
        <w:rPr>
          <w:rFonts w:hint="eastAsia"/>
          <w:color w:val="000000" w:themeColor="text1"/>
          <w:sz w:val="20"/>
          <w:szCs w:val="20"/>
          <w14:textFill>
            <w14:solidFill>
              <w14:schemeClr w14:val="tx1"/>
            </w14:solidFill>
          </w14:textFill>
        </w:rPr>
        <w:t>（项目编号：</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）采购活动，若在本项目中获得中标（成交）资格，将同意支付采购代理服务费。</w:t>
      </w:r>
    </w:p>
    <w:p w14:paraId="61CDAF7F">
      <w:pPr>
        <w:pStyle w:val="28"/>
        <w:spacing w:before="0" w:beforeAutospacing="0"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我方保证在贵公司发出《中标（成交）通知书》后3个工作日内向贵公司缴纳本磋商文件规定的采购代理服务费。</w:t>
      </w:r>
    </w:p>
    <w:p w14:paraId="32C8803B">
      <w:pPr>
        <w:pStyle w:val="28"/>
        <w:spacing w:before="0" w:beforeAutospacing="0"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如发生争议，我方同意将争议提交北海国际仲裁院仲裁解决。</w:t>
      </w:r>
    </w:p>
    <w:p w14:paraId="7EBB431E">
      <w:pPr>
        <w:pStyle w:val="28"/>
        <w:spacing w:before="0" w:beforeAutospacing="0"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特此承诺！</w:t>
      </w:r>
    </w:p>
    <w:p w14:paraId="3DD36FE9">
      <w:pPr>
        <w:jc w:val="lef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 xml:space="preserve"> </w:t>
      </w:r>
    </w:p>
    <w:p w14:paraId="3E299F35">
      <w:pPr>
        <w:pStyle w:val="37"/>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供应商</w:t>
      </w:r>
      <w:r>
        <w:rPr>
          <w:rFonts w:hint="eastAsia"/>
          <w:color w:val="000000" w:themeColor="text1"/>
          <w:sz w:val="20"/>
          <w:szCs w:val="20"/>
          <w14:textFill>
            <w14:solidFill>
              <w14:schemeClr w14:val="tx1"/>
            </w14:solidFill>
          </w14:textFill>
        </w:rPr>
        <w:t>法定代表人或其授权委托人（签字或盖章）：</w:t>
      </w:r>
      <w:r>
        <w:rPr>
          <w:rFonts w:hint="eastAsia"/>
          <w:color w:val="000000" w:themeColor="text1"/>
          <w:sz w:val="20"/>
          <w:szCs w:val="20"/>
          <w:u w:val="single"/>
          <w14:textFill>
            <w14:solidFill>
              <w14:schemeClr w14:val="tx1"/>
            </w14:solidFill>
          </w14:textFill>
        </w:rPr>
        <w:t xml:space="preserve">                    .</w:t>
      </w:r>
    </w:p>
    <w:p w14:paraId="33F580D5">
      <w:pPr>
        <w:pStyle w:val="37"/>
        <w:autoSpaceDN/>
        <w:spacing w:line="480" w:lineRule="auto"/>
        <w:ind w:firstLine="0" w:firstLineChars="0"/>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供应商名称（盖章）：</w:t>
      </w:r>
      <w:r>
        <w:rPr>
          <w:rFonts w:hint="eastAsia"/>
          <w:color w:val="000000" w:themeColor="text1"/>
          <w:sz w:val="20"/>
          <w:szCs w:val="20"/>
          <w:u w:val="single"/>
          <w14:textFill>
            <w14:solidFill>
              <w14:schemeClr w14:val="tx1"/>
            </w14:solidFill>
          </w14:textFill>
        </w:rPr>
        <w:t xml:space="preserve">                    .</w:t>
      </w:r>
    </w:p>
    <w:p w14:paraId="0FCE3F34">
      <w:pPr>
        <w:pStyle w:val="37"/>
        <w:autoSpaceDN/>
        <w:spacing w:line="480" w:lineRule="auto"/>
        <w:ind w:firstLine="4134" w:firstLineChars="2067"/>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日期：</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483329C5">
      <w:pPr>
        <w:ind w:firstLine="400" w:firstLineChars="200"/>
        <w:jc w:val="lef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附件：</w:t>
      </w:r>
    </w:p>
    <w:tbl>
      <w:tblPr>
        <w:tblStyle w:val="29"/>
        <w:tblW w:w="4999" w:type="pct"/>
        <w:tblInd w:w="108" w:type="dxa"/>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1235"/>
        <w:gridCol w:w="1897"/>
        <w:gridCol w:w="5389"/>
      </w:tblGrid>
      <w:tr w14:paraId="52A7C02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54" w:hRule="atLeast"/>
        </w:trPr>
        <w:tc>
          <w:tcPr>
            <w:tcW w:w="1838" w:type="pct"/>
            <w:gridSpan w:val="2"/>
            <w:tcBorders>
              <w:top w:val="single" w:color="auto" w:sz="4" w:space="0"/>
              <w:left w:val="single" w:color="auto" w:sz="4" w:space="0"/>
              <w:bottom w:val="single" w:color="auto" w:sz="4" w:space="0"/>
              <w:right w:val="single" w:color="auto" w:sz="4" w:space="0"/>
              <w:tl2br w:val="nil"/>
              <w:tr2bl w:val="nil"/>
            </w:tcBorders>
            <w:vAlign w:val="center"/>
          </w:tcPr>
          <w:p w14:paraId="2B225D68">
            <w:pPr>
              <w:pStyle w:val="11"/>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项目</w:t>
            </w:r>
          </w:p>
        </w:tc>
        <w:tc>
          <w:tcPr>
            <w:tcW w:w="3161" w:type="pct"/>
            <w:tcBorders>
              <w:top w:val="single" w:color="auto" w:sz="4" w:space="0"/>
              <w:left w:val="single" w:color="auto" w:sz="4" w:space="0"/>
              <w:bottom w:val="single" w:color="auto" w:sz="4" w:space="0"/>
              <w:right w:val="single" w:color="auto" w:sz="4" w:space="0"/>
              <w:tl2br w:val="nil"/>
              <w:tr2bl w:val="nil"/>
            </w:tcBorders>
            <w:vAlign w:val="center"/>
          </w:tcPr>
          <w:p w14:paraId="2A181EDA">
            <w:pPr>
              <w:pStyle w:val="11"/>
              <w:jc w:val="center"/>
              <w:rPr>
                <w:b/>
                <w:bCs/>
                <w:color w:val="000000" w:themeColor="text1"/>
                <w:sz w:val="20"/>
                <w:szCs w:val="20"/>
                <w14:textFill>
                  <w14:solidFill>
                    <w14:schemeClr w14:val="tx1"/>
                  </w14:solidFill>
                </w14:textFill>
              </w:rPr>
            </w:pPr>
            <w:r>
              <w:rPr>
                <w:rFonts w:hint="eastAsia"/>
                <w:b/>
                <w:bCs/>
                <w:color w:val="000000" w:themeColor="text1"/>
                <w:sz w:val="20"/>
                <w:szCs w:val="20"/>
                <w14:textFill>
                  <w14:solidFill>
                    <w14:schemeClr w14:val="tx1"/>
                  </w14:solidFill>
                </w14:textFill>
              </w:rPr>
              <w:t>内容</w:t>
            </w:r>
          </w:p>
        </w:tc>
      </w:tr>
      <w:tr w14:paraId="4BC7231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54" w:hRule="atLeast"/>
        </w:trPr>
        <w:tc>
          <w:tcPr>
            <w:tcW w:w="1838" w:type="pct"/>
            <w:gridSpan w:val="2"/>
            <w:tcBorders>
              <w:top w:val="single" w:color="auto" w:sz="4" w:space="0"/>
              <w:left w:val="single" w:color="auto" w:sz="4" w:space="0"/>
              <w:bottom w:val="single" w:color="auto" w:sz="4" w:space="0"/>
              <w:right w:val="single" w:color="auto" w:sz="4" w:space="0"/>
              <w:tl2br w:val="nil"/>
              <w:tr2bl w:val="nil"/>
            </w:tcBorders>
            <w:vAlign w:val="center"/>
          </w:tcPr>
          <w:p w14:paraId="095ED489">
            <w:pPr>
              <w:pStyle w:val="11"/>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选择发票类型</w:t>
            </w:r>
          </w:p>
        </w:tc>
        <w:tc>
          <w:tcPr>
            <w:tcW w:w="3161" w:type="pct"/>
            <w:tcBorders>
              <w:top w:val="single" w:color="auto" w:sz="4" w:space="0"/>
              <w:left w:val="single" w:color="auto" w:sz="4" w:space="0"/>
              <w:bottom w:val="single" w:color="auto" w:sz="4" w:space="0"/>
              <w:right w:val="single" w:color="auto" w:sz="4" w:space="0"/>
              <w:tl2br w:val="nil"/>
              <w:tr2bl w:val="nil"/>
            </w:tcBorders>
            <w:vAlign w:val="center"/>
          </w:tcPr>
          <w:p w14:paraId="43EC14CB">
            <w:pPr>
              <w:pStyle w:val="11"/>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□数电发票（增值税专用发票）/ □数电发票（普通发票）</w:t>
            </w:r>
          </w:p>
        </w:tc>
      </w:tr>
      <w:tr w14:paraId="04BEAA61">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54" w:hRule="atLeast"/>
        </w:trPr>
        <w:tc>
          <w:tcPr>
            <w:tcW w:w="725" w:type="pct"/>
            <w:vMerge w:val="restart"/>
            <w:tcBorders>
              <w:top w:val="nil"/>
              <w:left w:val="single" w:color="auto" w:sz="4" w:space="0"/>
              <w:bottom w:val="single" w:color="auto" w:sz="4" w:space="0"/>
              <w:right w:val="single" w:color="auto" w:sz="4" w:space="0"/>
              <w:tl2br w:val="nil"/>
              <w:tr2bl w:val="nil"/>
            </w:tcBorders>
            <w:vAlign w:val="center"/>
          </w:tcPr>
          <w:p w14:paraId="3BA1FEB5">
            <w:pPr>
              <w:pStyle w:val="11"/>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发票内容</w:t>
            </w:r>
          </w:p>
        </w:tc>
        <w:tc>
          <w:tcPr>
            <w:tcW w:w="1112" w:type="pct"/>
            <w:tcBorders>
              <w:top w:val="single" w:color="auto" w:sz="4" w:space="0"/>
              <w:left w:val="single" w:color="auto" w:sz="4" w:space="0"/>
              <w:bottom w:val="single" w:color="auto" w:sz="4" w:space="0"/>
              <w:right w:val="single" w:color="auto" w:sz="4" w:space="0"/>
              <w:tl2br w:val="nil"/>
              <w:tr2bl w:val="nil"/>
            </w:tcBorders>
            <w:vAlign w:val="center"/>
          </w:tcPr>
          <w:p w14:paraId="1AE1EEF3">
            <w:pPr>
              <w:pStyle w:val="11"/>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名称</w:t>
            </w:r>
          </w:p>
        </w:tc>
        <w:tc>
          <w:tcPr>
            <w:tcW w:w="3161" w:type="pct"/>
            <w:tcBorders>
              <w:top w:val="single" w:color="auto" w:sz="4" w:space="0"/>
              <w:left w:val="single" w:color="auto" w:sz="4" w:space="0"/>
              <w:bottom w:val="single" w:color="auto" w:sz="4" w:space="0"/>
              <w:right w:val="single" w:color="auto" w:sz="4" w:space="0"/>
              <w:tl2br w:val="nil"/>
              <w:tr2bl w:val="nil"/>
            </w:tcBorders>
            <w:vAlign w:val="center"/>
          </w:tcPr>
          <w:p w14:paraId="792D053E">
            <w:pPr>
              <w:pStyle w:val="11"/>
              <w:rPr>
                <w:color w:val="000000" w:themeColor="text1"/>
                <w:sz w:val="20"/>
                <w:szCs w:val="20"/>
                <w14:textFill>
                  <w14:solidFill>
                    <w14:schemeClr w14:val="tx1"/>
                  </w14:solidFill>
                </w14:textFill>
              </w:rPr>
            </w:pPr>
          </w:p>
        </w:tc>
      </w:tr>
      <w:tr w14:paraId="120A91E1">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54" w:hRule="atLeast"/>
        </w:trPr>
        <w:tc>
          <w:tcPr>
            <w:tcW w:w="3090" w:type="pct"/>
            <w:vMerge w:val="continue"/>
            <w:tcBorders>
              <w:top w:val="nil"/>
              <w:left w:val="single" w:color="auto" w:sz="4" w:space="0"/>
              <w:bottom w:val="single" w:color="auto" w:sz="4" w:space="0"/>
              <w:right w:val="single" w:color="auto" w:sz="4" w:space="0"/>
              <w:tl2br w:val="nil"/>
              <w:tr2bl w:val="nil"/>
            </w:tcBorders>
            <w:vAlign w:val="center"/>
          </w:tcPr>
          <w:p w14:paraId="34E91B62">
            <w:pPr>
              <w:rPr>
                <w:color w:val="000000" w:themeColor="text1"/>
                <w14:textFill>
                  <w14:solidFill>
                    <w14:schemeClr w14:val="tx1"/>
                  </w14:solidFill>
                </w14:textFill>
              </w:rPr>
            </w:pPr>
          </w:p>
        </w:tc>
        <w:tc>
          <w:tcPr>
            <w:tcW w:w="1112" w:type="pct"/>
            <w:tcBorders>
              <w:top w:val="single" w:color="auto" w:sz="4" w:space="0"/>
              <w:left w:val="single" w:color="auto" w:sz="4" w:space="0"/>
              <w:bottom w:val="single" w:color="auto" w:sz="4" w:space="0"/>
              <w:right w:val="single" w:color="auto" w:sz="4" w:space="0"/>
              <w:tl2br w:val="nil"/>
              <w:tr2bl w:val="nil"/>
            </w:tcBorders>
            <w:vAlign w:val="center"/>
          </w:tcPr>
          <w:p w14:paraId="7C1585AB">
            <w:pPr>
              <w:pStyle w:val="11"/>
              <w:jc w:val="center"/>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纳税人识别号</w:t>
            </w:r>
          </w:p>
        </w:tc>
        <w:tc>
          <w:tcPr>
            <w:tcW w:w="3161" w:type="pct"/>
            <w:tcBorders>
              <w:top w:val="single" w:color="auto" w:sz="4" w:space="0"/>
              <w:left w:val="single" w:color="auto" w:sz="4" w:space="0"/>
              <w:bottom w:val="single" w:color="auto" w:sz="4" w:space="0"/>
              <w:right w:val="single" w:color="auto" w:sz="4" w:space="0"/>
              <w:tl2br w:val="nil"/>
              <w:tr2bl w:val="nil"/>
            </w:tcBorders>
            <w:vAlign w:val="center"/>
          </w:tcPr>
          <w:p w14:paraId="71BED1A9">
            <w:pPr>
              <w:pStyle w:val="11"/>
              <w:rPr>
                <w:color w:val="000000" w:themeColor="text1"/>
                <w:sz w:val="20"/>
                <w:szCs w:val="20"/>
                <w14:textFill>
                  <w14:solidFill>
                    <w14:schemeClr w14:val="tx1"/>
                  </w14:solidFill>
                </w14:textFill>
              </w:rPr>
            </w:pPr>
          </w:p>
        </w:tc>
      </w:tr>
      <w:tr w14:paraId="6B1FFC1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1359" w:hRule="atLeast"/>
        </w:trPr>
        <w:tc>
          <w:tcPr>
            <w:tcW w:w="5000" w:type="pct"/>
            <w:gridSpan w:val="3"/>
            <w:tcBorders>
              <w:top w:val="single" w:color="auto" w:sz="4" w:space="0"/>
              <w:left w:val="single" w:color="auto" w:sz="4" w:space="0"/>
              <w:bottom w:val="single" w:color="auto" w:sz="4" w:space="0"/>
              <w:right w:val="single" w:color="auto" w:sz="4" w:space="0"/>
              <w:tl2br w:val="nil"/>
              <w:tr2bl w:val="nil"/>
            </w:tcBorders>
            <w:vAlign w:val="center"/>
          </w:tcPr>
          <w:p w14:paraId="635F5B8A">
            <w:pPr>
              <w:pStyle w:val="11"/>
              <w:spacing w:line="400" w:lineRule="exac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1.国家税务总局关于修改《中华人民共和国发票管理办法实施细则》的决定【https://fgk.chinatax.gov.cn/zcfgk/c100011/c5221006/content.html】-“电子发票与纸质发票的法律效力相同，任何单位和个人不得拒收。”</w:t>
            </w:r>
          </w:p>
          <w:p w14:paraId="401ECAA6">
            <w:pPr>
              <w:pStyle w:val="11"/>
              <w:spacing w:line="400" w:lineRule="exac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2.数电发票开具之后将会通过邮件的形式发送至供应商邮件中，请供应商注意查收。</w:t>
            </w:r>
          </w:p>
        </w:tc>
      </w:tr>
    </w:tbl>
    <w:p w14:paraId="154615E0">
      <w:pPr>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14:paraId="7BF42D90">
      <w:pPr>
        <w:pStyle w:val="3"/>
        <w:keepLines w:val="0"/>
        <w:numPr>
          <w:ilvl w:val="0"/>
          <w:numId w:val="21"/>
        </w:numPr>
        <w:spacing w:before="120" w:after="120"/>
        <w:rPr>
          <w:rFonts w:hint="eastAsia" w:ascii="宋体" w:eastAsia="宋体"/>
          <w:color w:val="000000" w:themeColor="text1"/>
          <w:sz w:val="24"/>
          <w:szCs w:val="24"/>
          <w14:textFill>
            <w14:solidFill>
              <w14:schemeClr w14:val="tx1"/>
            </w14:solidFill>
          </w14:textFill>
        </w:rPr>
      </w:pPr>
      <w:bookmarkStart w:id="265" w:name="_Toc104040723"/>
      <w:bookmarkEnd w:id="265"/>
      <w:bookmarkStart w:id="266" w:name="_Toc103033256"/>
      <w:bookmarkEnd w:id="266"/>
      <w:bookmarkStart w:id="267" w:name="_Toc14000"/>
      <w:bookmarkStart w:id="268" w:name="_Toc27014"/>
      <w:r>
        <w:rPr>
          <w:rFonts w:hint="eastAsia" w:ascii="宋体" w:eastAsia="宋体"/>
          <w:color w:val="000000" w:themeColor="text1"/>
          <w:sz w:val="24"/>
          <w:szCs w:val="24"/>
          <w14:textFill>
            <w14:solidFill>
              <w14:schemeClr w14:val="tx1"/>
            </w14:solidFill>
          </w14:textFill>
        </w:rPr>
        <w:t>询问函、质疑函、投诉书格式</w:t>
      </w:r>
      <w:bookmarkEnd w:id="267"/>
      <w:bookmarkEnd w:id="268"/>
    </w:p>
    <w:p w14:paraId="75DCFB5C">
      <w:pPr>
        <w:jc w:val="left"/>
        <w:rPr>
          <w:i/>
          <w:iCs/>
          <w:color w:val="000000" w:themeColor="text1"/>
          <w14:textFill>
            <w14:solidFill>
              <w14:schemeClr w14:val="tx1"/>
            </w14:solidFill>
          </w14:textFill>
        </w:rPr>
      </w:pPr>
      <w:bookmarkStart w:id="269" w:name="_Hlk112011260"/>
      <w:bookmarkEnd w:id="269"/>
      <w:r>
        <w:rPr>
          <w:rFonts w:hint="eastAsia"/>
          <w:i/>
          <w:iCs/>
          <w:color w:val="000000" w:themeColor="text1"/>
          <w14:textFill>
            <w14:solidFill>
              <w14:schemeClr w14:val="tx1"/>
            </w14:solidFill>
          </w14:textFill>
        </w:rPr>
        <w:t>（以下格式文件为供应商提交询问函、质疑函、投诉函时使用，不属于响应文件格式的组成部分，供应商根据需要选用）</w:t>
      </w:r>
    </w:p>
    <w:p w14:paraId="7F2A996C">
      <w:pPr>
        <w:jc w:val="center"/>
        <w:rPr>
          <w:b/>
          <w:bCs/>
          <w:color w:val="000000" w:themeColor="text1"/>
          <w:sz w:val="28"/>
          <w:szCs w:val="28"/>
          <w14:textFill>
            <w14:solidFill>
              <w14:schemeClr w14:val="tx1"/>
            </w14:solidFill>
          </w14:textFill>
        </w:rPr>
      </w:pPr>
      <w:bookmarkStart w:id="270" w:name="_Hlk112011287"/>
      <w:bookmarkEnd w:id="270"/>
      <w:r>
        <w:rPr>
          <w:rFonts w:hint="eastAsia"/>
          <w:b/>
          <w:bCs/>
          <w:color w:val="000000" w:themeColor="text1"/>
          <w:sz w:val="28"/>
          <w:szCs w:val="28"/>
          <w14:textFill>
            <w14:solidFill>
              <w14:schemeClr w14:val="tx1"/>
            </w14:solidFill>
          </w14:textFill>
        </w:rPr>
        <w:t>询问函</w:t>
      </w:r>
    </w:p>
    <w:p w14:paraId="4F792E2C">
      <w:pPr>
        <w:rPr>
          <w:color w:val="000000" w:themeColor="text1"/>
          <w14:textFill>
            <w14:solidFill>
              <w14:schemeClr w14:val="tx1"/>
            </w14:solidFill>
          </w14:textFill>
        </w:rPr>
      </w:pPr>
      <w:r>
        <w:rPr>
          <w:rFonts w:hint="eastAsia"/>
          <w:color w:val="000000" w:themeColor="text1"/>
          <w14:textFill>
            <w14:solidFill>
              <w14:schemeClr w14:val="tx1"/>
            </w14:solidFill>
          </w14:textFill>
        </w:rPr>
        <w:t>公诚管理咨询有限公司：</w:t>
      </w:r>
    </w:p>
    <w:p w14:paraId="1A188DF4">
      <w:pPr>
        <w:ind w:firstLine="400" w:firstLineChars="2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我单位准备参与</w:t>
      </w:r>
      <w:r>
        <w:rPr>
          <w:rFonts w:hint="eastAsia"/>
          <w:color w:val="000000" w:themeColor="text1"/>
          <w:sz w:val="20"/>
          <w:szCs w:val="20"/>
          <w:u w:val="single"/>
          <w14:textFill>
            <w14:solidFill>
              <w14:schemeClr w14:val="tx1"/>
            </w14:solidFill>
          </w14:textFill>
        </w:rPr>
        <w:t xml:space="preserve">     （项目名称）</w:t>
      </w:r>
      <w:r>
        <w:rPr>
          <w:rFonts w:hint="eastAsia"/>
          <w:color w:val="000000" w:themeColor="text1"/>
          <w:sz w:val="20"/>
          <w:szCs w:val="20"/>
          <w14:textFill>
            <w14:solidFill>
              <w14:schemeClr w14:val="tx1"/>
            </w14:solidFill>
          </w14:textFill>
        </w:rPr>
        <w:t>（项目编号：</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）的采购活动，现有以下几个内容（或条款）存在疑问（或无法理解），特提出询问。</w:t>
      </w:r>
    </w:p>
    <w:p w14:paraId="6F4284DA">
      <w:pPr>
        <w:pStyle w:val="28"/>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一、</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（事项一）</w:t>
      </w:r>
    </w:p>
    <w:p w14:paraId="06C6B3FE">
      <w:pPr>
        <w:pStyle w:val="28"/>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（1）</w:t>
      </w:r>
      <w:bookmarkStart w:id="271" w:name="_Hlk104040459"/>
      <w:bookmarkEnd w:id="271"/>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（问题或条款内容）</w:t>
      </w:r>
    </w:p>
    <w:p w14:paraId="32F55AE5">
      <w:pPr>
        <w:pStyle w:val="28"/>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（2）</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（说明疑问或无法理解原因）</w:t>
      </w:r>
    </w:p>
    <w:p w14:paraId="479F398E">
      <w:pPr>
        <w:pStyle w:val="28"/>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（3）</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 xml:space="preserve">（建议） </w:t>
      </w:r>
    </w:p>
    <w:p w14:paraId="5C6072C4">
      <w:pPr>
        <w:pStyle w:val="28"/>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二、</w:t>
      </w:r>
      <w:r>
        <w:rPr>
          <w:rFonts w:hint="eastAsia"/>
          <w:color w:val="000000" w:themeColor="text1"/>
          <w:sz w:val="20"/>
          <w:szCs w:val="20"/>
          <w:u w:val="single"/>
          <w14:textFill>
            <w14:solidFill>
              <w14:schemeClr w14:val="tx1"/>
            </w14:solidFill>
          </w14:textFill>
        </w:rPr>
        <w:t xml:space="preserve">                    </w:t>
      </w:r>
      <w:r>
        <w:rPr>
          <w:rFonts w:hint="eastAsia"/>
          <w:color w:val="000000" w:themeColor="text1"/>
          <w:sz w:val="20"/>
          <w:szCs w:val="20"/>
          <w14:textFill>
            <w14:solidFill>
              <w14:schemeClr w14:val="tx1"/>
            </w14:solidFill>
          </w14:textFill>
        </w:rPr>
        <w:t>（事项二）</w:t>
      </w:r>
    </w:p>
    <w:p w14:paraId="5ADF9B98">
      <w:pPr>
        <w:pStyle w:val="28"/>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w:t>
      </w:r>
    </w:p>
    <w:p w14:paraId="7C37E1EC">
      <w:pPr>
        <w:pStyle w:val="28"/>
        <w:spacing w:after="0" w:line="360" w:lineRule="auto"/>
        <w:ind w:left="0" w:leftChars="0" w:firstLine="400"/>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随附相关证明材料如下：（目录）</w:t>
      </w:r>
    </w:p>
    <w:p w14:paraId="09DE335D">
      <w:pPr>
        <w:pStyle w:val="11"/>
        <w:rPr>
          <w:color w:val="000000" w:themeColor="text1"/>
          <w:sz w:val="20"/>
          <w:szCs w:val="20"/>
          <w14:textFill>
            <w14:solidFill>
              <w14:schemeClr w14:val="tx1"/>
            </w14:solidFill>
          </w14:textFill>
        </w:rPr>
      </w:pPr>
    </w:p>
    <w:p w14:paraId="76AEB2A1">
      <w:pPr>
        <w:pStyle w:val="11"/>
        <w:rPr>
          <w:color w:val="000000" w:themeColor="text1"/>
          <w:sz w:val="20"/>
          <w:szCs w:val="20"/>
          <w14:textFill>
            <w14:solidFill>
              <w14:schemeClr w14:val="tx1"/>
            </w14:solidFill>
          </w14:textFill>
        </w:rPr>
      </w:pPr>
    </w:p>
    <w:p w14:paraId="1CBA50B0">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询问人（公章）：</w:t>
      </w:r>
      <w:r>
        <w:rPr>
          <w:rFonts w:hint="eastAsia" w:cs="仿宋"/>
          <w:color w:val="000000" w:themeColor="text1"/>
          <w:sz w:val="20"/>
          <w:szCs w:val="20"/>
          <w:u w:val="dotted"/>
          <w14:textFill>
            <w14:solidFill>
              <w14:schemeClr w14:val="tx1"/>
            </w14:solidFill>
          </w14:textFill>
        </w:rPr>
        <w:t xml:space="preserve">                .</w:t>
      </w:r>
      <w:r>
        <w:rPr>
          <w:rFonts w:hint="eastAsia"/>
          <w:color w:val="000000" w:themeColor="text1"/>
          <w:sz w:val="20"/>
          <w:szCs w:val="20"/>
          <w14:textFill>
            <w14:solidFill>
              <w14:schemeClr w14:val="tx1"/>
            </w14:solidFill>
          </w14:textFill>
        </w:rPr>
        <w:t xml:space="preserve"> </w:t>
      </w:r>
    </w:p>
    <w:p w14:paraId="7B708811">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法定代表人或其授权代表（签字或盖章）：</w:t>
      </w:r>
      <w:r>
        <w:rPr>
          <w:rFonts w:hint="eastAsia" w:cs="仿宋"/>
          <w:color w:val="000000" w:themeColor="text1"/>
          <w:sz w:val="20"/>
          <w:szCs w:val="20"/>
          <w:u w:val="dotted"/>
          <w14:textFill>
            <w14:solidFill>
              <w14:schemeClr w14:val="tx1"/>
            </w14:solidFill>
          </w14:textFill>
        </w:rPr>
        <w:t xml:space="preserve">                .</w:t>
      </w:r>
    </w:p>
    <w:p w14:paraId="7DAD920F">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地址/邮编：</w:t>
      </w:r>
      <w:r>
        <w:rPr>
          <w:rFonts w:hint="eastAsia" w:cs="仿宋"/>
          <w:color w:val="000000" w:themeColor="text1"/>
          <w:sz w:val="20"/>
          <w:szCs w:val="20"/>
          <w:u w:val="dotted"/>
          <w14:textFill>
            <w14:solidFill>
              <w14:schemeClr w14:val="tx1"/>
            </w14:solidFill>
          </w14:textFill>
        </w:rPr>
        <w:t xml:space="preserve">                .</w:t>
      </w:r>
    </w:p>
    <w:p w14:paraId="55A319A6">
      <w:pPr>
        <w:jc w:val="right"/>
        <w:rPr>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电话/传真：</w:t>
      </w:r>
      <w:r>
        <w:rPr>
          <w:rFonts w:hint="eastAsia" w:cs="仿宋"/>
          <w:color w:val="000000" w:themeColor="text1"/>
          <w:sz w:val="20"/>
          <w:szCs w:val="20"/>
          <w:u w:val="dotted"/>
          <w14:textFill>
            <w14:solidFill>
              <w14:schemeClr w14:val="tx1"/>
            </w14:solidFill>
          </w14:textFill>
        </w:rPr>
        <w:t xml:space="preserve">                .</w:t>
      </w:r>
    </w:p>
    <w:p w14:paraId="447F9C7C">
      <w:pPr>
        <w:jc w:val="right"/>
        <w:rPr>
          <w:color w:val="000000" w:themeColor="text1"/>
          <w:sz w:val="20"/>
          <w:szCs w:val="20"/>
          <w14:textFill>
            <w14:solidFill>
              <w14:schemeClr w14:val="tx1"/>
            </w14:solidFill>
          </w14:textFill>
        </w:rPr>
      </w:pPr>
      <w:r>
        <w:rPr>
          <w:rFonts w:hint="eastAsia" w:cs="仿宋"/>
          <w:color w:val="000000" w:themeColor="text1"/>
          <w:sz w:val="20"/>
          <w:szCs w:val="20"/>
          <w14:textFill>
            <w14:solidFill>
              <w14:schemeClr w14:val="tx1"/>
            </w14:solidFill>
          </w14:textFill>
        </w:rPr>
        <w:t>日期：</w:t>
      </w:r>
      <w:r>
        <w:rPr>
          <w:rFonts w:hint="eastAsia" w:cs="仿宋"/>
          <w:color w:val="000000" w:themeColor="text1"/>
          <w:sz w:val="20"/>
          <w:szCs w:val="20"/>
          <w:u w:val="dotted"/>
          <w14:textFill>
            <w14:solidFill>
              <w14:schemeClr w14:val="tx1"/>
            </w14:solidFill>
          </w14:textFill>
        </w:rPr>
        <w:t xml:space="preserve">     </w:t>
      </w:r>
      <w:r>
        <w:rPr>
          <w:rFonts w:hint="eastAsia"/>
          <w:color w:val="000000" w:themeColor="text1"/>
          <w:sz w:val="20"/>
          <w:szCs w:val="20"/>
          <w14:textFill>
            <w14:solidFill>
              <w14:schemeClr w14:val="tx1"/>
            </w14:solidFill>
          </w14:textFill>
        </w:rPr>
        <w:t>年</w:t>
      </w:r>
      <w:r>
        <w:rPr>
          <w:rFonts w:hint="eastAsia" w:cs="仿宋"/>
          <w:color w:val="000000" w:themeColor="text1"/>
          <w:sz w:val="20"/>
          <w:szCs w:val="20"/>
          <w:u w:val="dotted"/>
          <w14:textFill>
            <w14:solidFill>
              <w14:schemeClr w14:val="tx1"/>
            </w14:solidFill>
          </w14:textFill>
        </w:rPr>
        <w:t xml:space="preserve">     </w:t>
      </w:r>
      <w:r>
        <w:rPr>
          <w:rFonts w:hint="eastAsia"/>
          <w:color w:val="000000" w:themeColor="text1"/>
          <w:sz w:val="20"/>
          <w:szCs w:val="20"/>
          <w14:textFill>
            <w14:solidFill>
              <w14:schemeClr w14:val="tx1"/>
            </w14:solidFill>
          </w14:textFill>
        </w:rPr>
        <w:t>月</w:t>
      </w:r>
      <w:r>
        <w:rPr>
          <w:rFonts w:hint="eastAsia" w:cs="仿宋"/>
          <w:color w:val="000000" w:themeColor="text1"/>
          <w:sz w:val="20"/>
          <w:szCs w:val="20"/>
          <w:u w:val="dotted"/>
          <w14:textFill>
            <w14:solidFill>
              <w14:schemeClr w14:val="tx1"/>
            </w14:solidFill>
          </w14:textFill>
        </w:rPr>
        <w:t xml:space="preserve">     </w:t>
      </w:r>
      <w:r>
        <w:rPr>
          <w:rFonts w:hint="eastAsia"/>
          <w:color w:val="000000" w:themeColor="text1"/>
          <w:sz w:val="20"/>
          <w:szCs w:val="20"/>
          <w14:textFill>
            <w14:solidFill>
              <w14:schemeClr w14:val="tx1"/>
            </w14:solidFill>
          </w14:textFill>
        </w:rPr>
        <w:t>日</w:t>
      </w:r>
    </w:p>
    <w:p w14:paraId="3D9800F3">
      <w:pPr>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14:paraId="1B935BA7">
      <w:pPr>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质疑函</w:t>
      </w:r>
    </w:p>
    <w:p w14:paraId="0A97358D">
      <w:pPr>
        <w:pStyle w:val="40"/>
        <w:numPr>
          <w:ilvl w:val="2"/>
          <w:numId w:val="28"/>
        </w:numPr>
        <w:adjustRightInd w:val="0"/>
        <w:snapToGrid w:val="0"/>
        <w:spacing w:line="360" w:lineRule="auto"/>
        <w:ind w:left="0" w:firstLine="0"/>
        <w:rPr>
          <w:rFonts w:hint="eastAsia" w:ascii="宋体" w:cs="仿宋"/>
          <w:b/>
          <w:color w:val="000000" w:themeColor="text1"/>
          <w14:textFill>
            <w14:solidFill>
              <w14:schemeClr w14:val="tx1"/>
            </w14:solidFill>
          </w14:textFill>
        </w:rPr>
      </w:pPr>
      <w:r>
        <w:rPr>
          <w:rFonts w:hint="eastAsia" w:ascii="宋体" w:cs="仿宋"/>
          <w:b/>
          <w:color w:val="000000" w:themeColor="text1"/>
          <w14:textFill>
            <w14:solidFill>
              <w14:schemeClr w14:val="tx1"/>
            </w14:solidFill>
          </w14:textFill>
        </w:rPr>
        <w:t>质疑供应商基本信息</w:t>
      </w:r>
    </w:p>
    <w:p w14:paraId="649B5651">
      <w:pPr>
        <w:adjustRightInd w:val="0"/>
        <w:snapToGrid w:val="0"/>
        <w:spacing w:line="360" w:lineRule="auto"/>
        <w:rPr>
          <w:rFonts w:cs="仿宋"/>
          <w:color w:val="000000" w:themeColor="text1"/>
          <w:u w:val="dotted"/>
          <w14:textFill>
            <w14:solidFill>
              <w14:schemeClr w14:val="tx1"/>
            </w14:solidFill>
          </w14:textFill>
        </w:rPr>
      </w:pPr>
      <w:r>
        <w:rPr>
          <w:rFonts w:hint="eastAsia" w:cs="仿宋"/>
          <w:color w:val="000000" w:themeColor="text1"/>
          <w14:textFill>
            <w14:solidFill>
              <w14:schemeClr w14:val="tx1"/>
            </w14:solidFill>
          </w14:textFill>
        </w:rPr>
        <w:t>质疑供应商：</w:t>
      </w:r>
      <w:r>
        <w:rPr>
          <w:rFonts w:hint="eastAsia" w:cs="仿宋"/>
          <w:color w:val="000000" w:themeColor="text1"/>
          <w:u w:val="dotted"/>
          <w14:textFill>
            <w14:solidFill>
              <w14:schemeClr w14:val="tx1"/>
            </w14:solidFill>
          </w14:textFill>
        </w:rPr>
        <w:t xml:space="preserve">                                          </w:t>
      </w:r>
    </w:p>
    <w:p w14:paraId="2CB883A8">
      <w:pPr>
        <w:adjustRightInd w:val="0"/>
        <w:snapToGrid w:val="0"/>
        <w:spacing w:line="360" w:lineRule="auto"/>
        <w:rPr>
          <w:rFonts w:cs="仿宋"/>
          <w:color w:val="000000" w:themeColor="text1"/>
          <w14:textFill>
            <w14:solidFill>
              <w14:schemeClr w14:val="tx1"/>
            </w14:solidFill>
          </w14:textFill>
        </w:rPr>
      </w:pPr>
      <w:r>
        <w:rPr>
          <w:rFonts w:hint="eastAsia" w:cs="仿宋"/>
          <w:color w:val="000000" w:themeColor="text1"/>
          <w14:textFill>
            <w14:solidFill>
              <w14:schemeClr w14:val="tx1"/>
            </w14:solidFill>
          </w14:textFill>
        </w:rPr>
        <w:t>地址：</w:t>
      </w:r>
      <w:r>
        <w:rPr>
          <w:rFonts w:hint="eastAsia" w:cs="仿宋"/>
          <w:color w:val="000000" w:themeColor="text1"/>
          <w:u w:val="dotted"/>
          <w14:textFill>
            <w14:solidFill>
              <w14:schemeClr w14:val="tx1"/>
            </w14:solidFill>
          </w14:textFill>
        </w:rPr>
        <w:t xml:space="preserve">                          </w:t>
      </w:r>
      <w:r>
        <w:rPr>
          <w:rFonts w:hint="eastAsia" w:cs="仿宋"/>
          <w:color w:val="000000" w:themeColor="text1"/>
          <w14:textFill>
            <w14:solidFill>
              <w14:schemeClr w14:val="tx1"/>
            </w14:solidFill>
          </w14:textFill>
        </w:rPr>
        <w:t>邮编：</w:t>
      </w:r>
      <w:r>
        <w:rPr>
          <w:rFonts w:hint="eastAsia" w:cs="仿宋"/>
          <w:color w:val="000000" w:themeColor="text1"/>
          <w:u w:val="dotted"/>
          <w14:textFill>
            <w14:solidFill>
              <w14:schemeClr w14:val="tx1"/>
            </w14:solidFill>
          </w14:textFill>
        </w:rPr>
        <w:t xml:space="preserve">                </w:t>
      </w:r>
    </w:p>
    <w:p w14:paraId="048F527B">
      <w:pPr>
        <w:adjustRightInd w:val="0"/>
        <w:snapToGrid w:val="0"/>
        <w:spacing w:line="360" w:lineRule="auto"/>
        <w:rPr>
          <w:rFonts w:cs="仿宋"/>
          <w:color w:val="000000" w:themeColor="text1"/>
          <w14:textFill>
            <w14:solidFill>
              <w14:schemeClr w14:val="tx1"/>
            </w14:solidFill>
          </w14:textFill>
        </w:rPr>
      </w:pPr>
      <w:r>
        <w:rPr>
          <w:rFonts w:hint="eastAsia" w:cs="仿宋"/>
          <w:color w:val="000000" w:themeColor="text1"/>
          <w14:textFill>
            <w14:solidFill>
              <w14:schemeClr w14:val="tx1"/>
            </w14:solidFill>
          </w14:textFill>
        </w:rPr>
        <w:t>联系人：</w:t>
      </w:r>
      <w:r>
        <w:rPr>
          <w:rFonts w:hint="eastAsia" w:cs="仿宋"/>
          <w:color w:val="000000" w:themeColor="text1"/>
          <w:u w:val="dotted"/>
          <w14:textFill>
            <w14:solidFill>
              <w14:schemeClr w14:val="tx1"/>
            </w14:solidFill>
          </w14:textFill>
        </w:rPr>
        <w:t xml:space="preserve">                      </w:t>
      </w:r>
      <w:r>
        <w:rPr>
          <w:rFonts w:hint="eastAsia" w:cs="仿宋"/>
          <w:color w:val="000000" w:themeColor="text1"/>
          <w14:textFill>
            <w14:solidFill>
              <w14:schemeClr w14:val="tx1"/>
            </w14:solidFill>
          </w14:textFill>
        </w:rPr>
        <w:t>联系电话：</w:t>
      </w:r>
      <w:r>
        <w:rPr>
          <w:rFonts w:hint="eastAsia" w:cs="仿宋"/>
          <w:color w:val="000000" w:themeColor="text1"/>
          <w:u w:val="dotted"/>
          <w14:textFill>
            <w14:solidFill>
              <w14:schemeClr w14:val="tx1"/>
            </w14:solidFill>
          </w14:textFill>
        </w:rPr>
        <w:t xml:space="preserve">              </w:t>
      </w:r>
    </w:p>
    <w:p w14:paraId="350D9B73">
      <w:pPr>
        <w:adjustRightInd w:val="0"/>
        <w:snapToGrid w:val="0"/>
        <w:spacing w:line="360" w:lineRule="auto"/>
        <w:rPr>
          <w:rFonts w:cs="仿宋"/>
          <w:color w:val="000000" w:themeColor="text1"/>
          <w:u w:val="dotted"/>
          <w14:textFill>
            <w14:solidFill>
              <w14:schemeClr w14:val="tx1"/>
            </w14:solidFill>
          </w14:textFill>
        </w:rPr>
      </w:pPr>
      <w:r>
        <w:rPr>
          <w:rFonts w:hint="eastAsia" w:cs="仿宋"/>
          <w:color w:val="000000" w:themeColor="text1"/>
          <w14:textFill>
            <w14:solidFill>
              <w14:schemeClr w14:val="tx1"/>
            </w14:solidFill>
          </w14:textFill>
        </w:rPr>
        <w:t>授权代表：</w:t>
      </w:r>
      <w:r>
        <w:rPr>
          <w:rFonts w:hint="eastAsia" w:cs="仿宋"/>
          <w:color w:val="000000" w:themeColor="text1"/>
          <w:u w:val="dotted"/>
          <w14:textFill>
            <w14:solidFill>
              <w14:schemeClr w14:val="tx1"/>
            </w14:solidFill>
          </w14:textFill>
        </w:rPr>
        <w:t xml:space="preserve">                                            </w:t>
      </w:r>
    </w:p>
    <w:p w14:paraId="0981CDC7">
      <w:pPr>
        <w:adjustRightInd w:val="0"/>
        <w:snapToGrid w:val="0"/>
        <w:spacing w:line="360" w:lineRule="auto"/>
        <w:rPr>
          <w:rFonts w:cs="仿宋"/>
          <w:color w:val="000000" w:themeColor="text1"/>
          <w14:textFill>
            <w14:solidFill>
              <w14:schemeClr w14:val="tx1"/>
            </w14:solidFill>
          </w14:textFill>
        </w:rPr>
      </w:pPr>
      <w:r>
        <w:rPr>
          <w:rFonts w:hint="eastAsia" w:cs="仿宋"/>
          <w:color w:val="000000" w:themeColor="text1"/>
          <w14:textFill>
            <w14:solidFill>
              <w14:schemeClr w14:val="tx1"/>
            </w14:solidFill>
          </w14:textFill>
        </w:rPr>
        <w:t>联系电话：</w:t>
      </w:r>
      <w:r>
        <w:rPr>
          <w:rFonts w:hint="eastAsia" w:cs="仿宋"/>
          <w:color w:val="000000" w:themeColor="text1"/>
          <w:u w:val="dotted"/>
          <w14:textFill>
            <w14:solidFill>
              <w14:schemeClr w14:val="tx1"/>
            </w14:solidFill>
          </w14:textFill>
        </w:rPr>
        <w:t xml:space="preserve">                                            </w:t>
      </w:r>
      <w:r>
        <w:rPr>
          <w:rFonts w:hint="eastAsia" w:cs="仿宋"/>
          <w:color w:val="000000" w:themeColor="text1"/>
          <w14:textFill>
            <w14:solidFill>
              <w14:schemeClr w14:val="tx1"/>
            </w14:solidFill>
          </w14:textFill>
        </w:rPr>
        <w:t xml:space="preserve"> </w:t>
      </w:r>
    </w:p>
    <w:p w14:paraId="192AC6D0">
      <w:pPr>
        <w:adjustRightInd w:val="0"/>
        <w:snapToGrid w:val="0"/>
        <w:spacing w:line="360" w:lineRule="auto"/>
        <w:rPr>
          <w:rFonts w:cs="仿宋"/>
          <w:color w:val="000000" w:themeColor="text1"/>
          <w14:textFill>
            <w14:solidFill>
              <w14:schemeClr w14:val="tx1"/>
            </w14:solidFill>
          </w14:textFill>
        </w:rPr>
      </w:pPr>
      <w:r>
        <w:rPr>
          <w:rFonts w:hint="eastAsia" w:cs="仿宋"/>
          <w:color w:val="000000" w:themeColor="text1"/>
          <w14:textFill>
            <w14:solidFill>
              <w14:schemeClr w14:val="tx1"/>
            </w14:solidFill>
          </w14:textFill>
        </w:rPr>
        <w:t xml:space="preserve">地址： </w:t>
      </w:r>
      <w:r>
        <w:rPr>
          <w:rFonts w:hint="eastAsia" w:cs="仿宋"/>
          <w:color w:val="000000" w:themeColor="text1"/>
          <w:u w:val="dotted"/>
          <w14:textFill>
            <w14:solidFill>
              <w14:schemeClr w14:val="tx1"/>
            </w14:solidFill>
          </w14:textFill>
        </w:rPr>
        <w:t xml:space="preserve">                        </w:t>
      </w:r>
      <w:r>
        <w:rPr>
          <w:rFonts w:hint="eastAsia" w:cs="仿宋"/>
          <w:color w:val="000000" w:themeColor="text1"/>
          <w14:textFill>
            <w14:solidFill>
              <w14:schemeClr w14:val="tx1"/>
            </w14:solidFill>
          </w14:textFill>
        </w:rPr>
        <w:t>邮编：</w:t>
      </w:r>
      <w:r>
        <w:rPr>
          <w:rFonts w:hint="eastAsia" w:cs="仿宋"/>
          <w:color w:val="000000" w:themeColor="text1"/>
          <w:u w:val="dotted"/>
          <w14:textFill>
            <w14:solidFill>
              <w14:schemeClr w14:val="tx1"/>
            </w14:solidFill>
          </w14:textFill>
        </w:rPr>
        <w:t xml:space="preserve">                 </w:t>
      </w:r>
    </w:p>
    <w:p w14:paraId="2E1665C6">
      <w:pPr>
        <w:pStyle w:val="40"/>
        <w:numPr>
          <w:ilvl w:val="2"/>
          <w:numId w:val="28"/>
        </w:numPr>
        <w:adjustRightInd w:val="0"/>
        <w:snapToGrid w:val="0"/>
        <w:spacing w:line="360" w:lineRule="auto"/>
        <w:ind w:left="0" w:firstLine="0"/>
        <w:rPr>
          <w:rFonts w:hint="eastAsia" w:ascii="宋体" w:cs="仿宋"/>
          <w:b/>
          <w:color w:val="000000" w:themeColor="text1"/>
          <w14:textFill>
            <w14:solidFill>
              <w14:schemeClr w14:val="tx1"/>
            </w14:solidFill>
          </w14:textFill>
        </w:rPr>
      </w:pPr>
      <w:r>
        <w:rPr>
          <w:rFonts w:hint="eastAsia" w:ascii="宋体" w:cs="仿宋"/>
          <w:b/>
          <w:color w:val="000000" w:themeColor="text1"/>
          <w14:textFill>
            <w14:solidFill>
              <w14:schemeClr w14:val="tx1"/>
            </w14:solidFill>
          </w14:textFill>
        </w:rPr>
        <w:t>质疑项目基本情况</w:t>
      </w:r>
    </w:p>
    <w:p w14:paraId="1A2F6DAB">
      <w:pPr>
        <w:adjustRightInd w:val="0"/>
        <w:snapToGrid w:val="0"/>
        <w:spacing w:line="360" w:lineRule="auto"/>
        <w:rPr>
          <w:rFonts w:cs="仿宋"/>
          <w:color w:val="000000" w:themeColor="text1"/>
          <w14:textFill>
            <w14:solidFill>
              <w14:schemeClr w14:val="tx1"/>
            </w14:solidFill>
          </w14:textFill>
        </w:rPr>
      </w:pPr>
      <w:r>
        <w:rPr>
          <w:rFonts w:hint="eastAsia" w:cs="仿宋"/>
          <w:color w:val="000000" w:themeColor="text1"/>
          <w14:textFill>
            <w14:solidFill>
              <w14:schemeClr w14:val="tx1"/>
            </w14:solidFill>
          </w14:textFill>
        </w:rPr>
        <w:t>质疑项目的名称：</w:t>
      </w:r>
      <w:r>
        <w:rPr>
          <w:rFonts w:hint="eastAsia" w:cs="仿宋"/>
          <w:color w:val="000000" w:themeColor="text1"/>
          <w:u w:val="dotted"/>
          <w14:textFill>
            <w14:solidFill>
              <w14:schemeClr w14:val="tx1"/>
            </w14:solidFill>
          </w14:textFill>
        </w:rPr>
        <w:t xml:space="preserve">                                      </w:t>
      </w:r>
    </w:p>
    <w:p w14:paraId="338F514D">
      <w:pPr>
        <w:adjustRightInd w:val="0"/>
        <w:snapToGrid w:val="0"/>
        <w:spacing w:line="360" w:lineRule="auto"/>
        <w:rPr>
          <w:rFonts w:cs="仿宋"/>
          <w:color w:val="000000" w:themeColor="text1"/>
          <w14:textFill>
            <w14:solidFill>
              <w14:schemeClr w14:val="tx1"/>
            </w14:solidFill>
          </w14:textFill>
        </w:rPr>
      </w:pPr>
      <w:r>
        <w:rPr>
          <w:rFonts w:hint="eastAsia" w:cs="仿宋"/>
          <w:color w:val="000000" w:themeColor="text1"/>
          <w14:textFill>
            <w14:solidFill>
              <w14:schemeClr w14:val="tx1"/>
            </w14:solidFill>
          </w14:textFill>
        </w:rPr>
        <w:t>质疑项目的编号：</w:t>
      </w:r>
      <w:r>
        <w:rPr>
          <w:rFonts w:hint="eastAsia" w:cs="仿宋"/>
          <w:color w:val="000000" w:themeColor="text1"/>
          <w:u w:val="dotted"/>
          <w14:textFill>
            <w14:solidFill>
              <w14:schemeClr w14:val="tx1"/>
            </w14:solidFill>
          </w14:textFill>
        </w:rPr>
        <w:t xml:space="preserve">               </w:t>
      </w:r>
      <w:r>
        <w:rPr>
          <w:rFonts w:hint="eastAsia" w:cs="仿宋"/>
          <w:color w:val="000000" w:themeColor="text1"/>
          <w14:textFill>
            <w14:solidFill>
              <w14:schemeClr w14:val="tx1"/>
            </w14:solidFill>
          </w14:textFill>
        </w:rPr>
        <w:t>包号：</w:t>
      </w:r>
      <w:r>
        <w:rPr>
          <w:rFonts w:hint="eastAsia" w:cs="仿宋"/>
          <w:color w:val="000000" w:themeColor="text1"/>
          <w:u w:val="dotted"/>
          <w14:textFill>
            <w14:solidFill>
              <w14:schemeClr w14:val="tx1"/>
            </w14:solidFill>
          </w14:textFill>
        </w:rPr>
        <w:t xml:space="preserve">                 </w:t>
      </w:r>
    </w:p>
    <w:p w14:paraId="276F4563">
      <w:pPr>
        <w:adjustRightInd w:val="0"/>
        <w:snapToGrid w:val="0"/>
        <w:spacing w:line="360" w:lineRule="auto"/>
        <w:rPr>
          <w:rFonts w:cs="仿宋"/>
          <w:color w:val="000000" w:themeColor="text1"/>
          <w:u w:val="dotted"/>
          <w14:textFill>
            <w14:solidFill>
              <w14:schemeClr w14:val="tx1"/>
            </w14:solidFill>
          </w14:textFill>
        </w:rPr>
      </w:pPr>
      <w:r>
        <w:rPr>
          <w:rFonts w:hint="eastAsia" w:cs="仿宋"/>
          <w:color w:val="000000" w:themeColor="text1"/>
          <w14:textFill>
            <w14:solidFill>
              <w14:schemeClr w14:val="tx1"/>
            </w14:solidFill>
          </w14:textFill>
        </w:rPr>
        <w:t>采购人名称：</w:t>
      </w:r>
      <w:r>
        <w:rPr>
          <w:rFonts w:hint="eastAsia" w:cs="仿宋"/>
          <w:color w:val="000000" w:themeColor="text1"/>
          <w:u w:val="dotted"/>
          <w14:textFill>
            <w14:solidFill>
              <w14:schemeClr w14:val="tx1"/>
            </w14:solidFill>
          </w14:textFill>
        </w:rPr>
        <w:t xml:space="preserve">                                          </w:t>
      </w:r>
    </w:p>
    <w:p w14:paraId="7D2E56A1">
      <w:pPr>
        <w:adjustRightInd w:val="0"/>
        <w:snapToGrid w:val="0"/>
        <w:spacing w:line="360" w:lineRule="auto"/>
        <w:rPr>
          <w:rFonts w:cs="仿宋"/>
          <w:color w:val="000000" w:themeColor="text1"/>
          <w14:textFill>
            <w14:solidFill>
              <w14:schemeClr w14:val="tx1"/>
            </w14:solidFill>
          </w14:textFill>
        </w:rPr>
      </w:pPr>
      <w:r>
        <w:rPr>
          <w:rFonts w:hint="eastAsia" w:cs="仿宋"/>
          <w:color w:val="000000" w:themeColor="text1"/>
          <w14:textFill>
            <w14:solidFill>
              <w14:schemeClr w14:val="tx1"/>
            </w14:solidFill>
          </w14:textFill>
        </w:rPr>
        <w:t>磋商文件获取日期：</w:t>
      </w:r>
      <w:r>
        <w:rPr>
          <w:rFonts w:hint="eastAsia" w:cs="仿宋"/>
          <w:color w:val="000000" w:themeColor="text1"/>
          <w:u w:val="dotted"/>
          <w14:textFill>
            <w14:solidFill>
              <w14:schemeClr w14:val="tx1"/>
            </w14:solidFill>
          </w14:textFill>
        </w:rPr>
        <w:t xml:space="preserve">                                    </w:t>
      </w:r>
    </w:p>
    <w:p w14:paraId="10C8F8B4">
      <w:pPr>
        <w:pStyle w:val="40"/>
        <w:numPr>
          <w:ilvl w:val="2"/>
          <w:numId w:val="28"/>
        </w:numPr>
        <w:adjustRightInd w:val="0"/>
        <w:snapToGrid w:val="0"/>
        <w:spacing w:line="360" w:lineRule="auto"/>
        <w:ind w:left="0" w:firstLine="0"/>
        <w:rPr>
          <w:rFonts w:hint="eastAsia" w:ascii="宋体" w:cs="仿宋"/>
          <w:b/>
          <w:color w:val="000000" w:themeColor="text1"/>
          <w14:textFill>
            <w14:solidFill>
              <w14:schemeClr w14:val="tx1"/>
            </w14:solidFill>
          </w14:textFill>
        </w:rPr>
      </w:pPr>
      <w:r>
        <w:rPr>
          <w:rFonts w:hint="eastAsia" w:ascii="宋体" w:cs="仿宋"/>
          <w:b/>
          <w:color w:val="000000" w:themeColor="text1"/>
          <w14:textFill>
            <w14:solidFill>
              <w14:schemeClr w14:val="tx1"/>
            </w14:solidFill>
          </w14:textFill>
        </w:rPr>
        <w:t>质疑事项具体内容</w:t>
      </w:r>
    </w:p>
    <w:p w14:paraId="2C14CC0C">
      <w:pPr>
        <w:adjustRightInd w:val="0"/>
        <w:snapToGrid w:val="0"/>
        <w:spacing w:line="360" w:lineRule="auto"/>
        <w:rPr>
          <w:rFonts w:cs="仿宋"/>
          <w:color w:val="000000" w:themeColor="text1"/>
          <w:u w:val="dotted"/>
          <w14:textFill>
            <w14:solidFill>
              <w14:schemeClr w14:val="tx1"/>
            </w14:solidFill>
          </w14:textFill>
        </w:rPr>
      </w:pPr>
      <w:r>
        <w:rPr>
          <w:rFonts w:hint="eastAsia" w:cs="仿宋"/>
          <w:color w:val="000000" w:themeColor="text1"/>
          <w14:textFill>
            <w14:solidFill>
              <w14:schemeClr w14:val="tx1"/>
            </w14:solidFill>
          </w14:textFill>
        </w:rPr>
        <w:t>质疑事项1：</w:t>
      </w:r>
      <w:r>
        <w:rPr>
          <w:rFonts w:hint="eastAsia" w:cs="仿宋"/>
          <w:color w:val="000000" w:themeColor="text1"/>
          <w:u w:val="dotted"/>
          <w14:textFill>
            <w14:solidFill>
              <w14:schemeClr w14:val="tx1"/>
            </w14:solidFill>
          </w14:textFill>
        </w:rPr>
        <w:t xml:space="preserve">                                          </w:t>
      </w:r>
    </w:p>
    <w:p w14:paraId="606BB175">
      <w:pPr>
        <w:adjustRightInd w:val="0"/>
        <w:snapToGrid w:val="0"/>
        <w:spacing w:line="360" w:lineRule="auto"/>
        <w:rPr>
          <w:rFonts w:cs="仿宋"/>
          <w:color w:val="000000" w:themeColor="text1"/>
          <w:u w:val="dotted"/>
          <w14:textFill>
            <w14:solidFill>
              <w14:schemeClr w14:val="tx1"/>
            </w14:solidFill>
          </w14:textFill>
        </w:rPr>
      </w:pPr>
      <w:r>
        <w:rPr>
          <w:rFonts w:hint="eastAsia" w:cs="仿宋"/>
          <w:color w:val="000000" w:themeColor="text1"/>
          <w14:textFill>
            <w14:solidFill>
              <w14:schemeClr w14:val="tx1"/>
            </w14:solidFill>
          </w14:textFill>
        </w:rPr>
        <w:t>事实依据：</w:t>
      </w:r>
      <w:r>
        <w:rPr>
          <w:rFonts w:hint="eastAsia" w:cs="仿宋"/>
          <w:color w:val="000000" w:themeColor="text1"/>
          <w:u w:val="dotted"/>
          <w14:textFill>
            <w14:solidFill>
              <w14:schemeClr w14:val="tx1"/>
            </w14:solidFill>
          </w14:textFill>
        </w:rPr>
        <w:t xml:space="preserve">                                            </w:t>
      </w:r>
    </w:p>
    <w:p w14:paraId="63AE193D">
      <w:pPr>
        <w:adjustRightInd w:val="0"/>
        <w:snapToGrid w:val="0"/>
        <w:spacing w:line="360" w:lineRule="auto"/>
        <w:rPr>
          <w:rFonts w:cs="仿宋"/>
          <w:color w:val="000000" w:themeColor="text1"/>
          <w:u w:val="dotted"/>
          <w14:textFill>
            <w14:solidFill>
              <w14:schemeClr w14:val="tx1"/>
            </w14:solidFill>
          </w14:textFill>
        </w:rPr>
      </w:pPr>
      <w:r>
        <w:rPr>
          <w:rFonts w:hint="eastAsia" w:cs="仿宋"/>
          <w:color w:val="000000" w:themeColor="text1"/>
          <w14:textFill>
            <w14:solidFill>
              <w14:schemeClr w14:val="tx1"/>
            </w14:solidFill>
          </w14:textFill>
        </w:rPr>
        <w:t>法律依据：</w:t>
      </w:r>
      <w:r>
        <w:rPr>
          <w:rFonts w:hint="eastAsia" w:cs="仿宋"/>
          <w:color w:val="000000" w:themeColor="text1"/>
          <w:u w:val="dotted"/>
          <w14:textFill>
            <w14:solidFill>
              <w14:schemeClr w14:val="tx1"/>
            </w14:solidFill>
          </w14:textFill>
        </w:rPr>
        <w:t xml:space="preserve">                                            </w:t>
      </w:r>
    </w:p>
    <w:p w14:paraId="56C501E0">
      <w:pPr>
        <w:adjustRightInd w:val="0"/>
        <w:snapToGrid w:val="0"/>
        <w:spacing w:line="360" w:lineRule="auto"/>
        <w:rPr>
          <w:rFonts w:cs="仿宋"/>
          <w:color w:val="000000" w:themeColor="text1"/>
          <w:u w:val="dotted"/>
          <w14:textFill>
            <w14:solidFill>
              <w14:schemeClr w14:val="tx1"/>
            </w14:solidFill>
          </w14:textFill>
        </w:rPr>
      </w:pPr>
      <w:r>
        <w:rPr>
          <w:rFonts w:hint="eastAsia" w:cs="仿宋"/>
          <w:color w:val="000000" w:themeColor="text1"/>
          <w14:textFill>
            <w14:solidFill>
              <w14:schemeClr w14:val="tx1"/>
            </w14:solidFill>
          </w14:textFill>
        </w:rPr>
        <w:t>质疑事项2</w:t>
      </w:r>
    </w:p>
    <w:p w14:paraId="692FA54B">
      <w:pPr>
        <w:pStyle w:val="40"/>
        <w:numPr>
          <w:ilvl w:val="2"/>
          <w:numId w:val="28"/>
        </w:numPr>
        <w:adjustRightInd w:val="0"/>
        <w:snapToGrid w:val="0"/>
        <w:spacing w:line="360" w:lineRule="auto"/>
        <w:ind w:left="0" w:firstLine="0"/>
        <w:rPr>
          <w:rFonts w:hint="eastAsia" w:ascii="宋体" w:cs="仿宋"/>
          <w:b/>
          <w:color w:val="000000" w:themeColor="text1"/>
          <w14:textFill>
            <w14:solidFill>
              <w14:schemeClr w14:val="tx1"/>
            </w14:solidFill>
          </w14:textFill>
        </w:rPr>
      </w:pPr>
      <w:r>
        <w:rPr>
          <w:rFonts w:hint="eastAsia" w:ascii="宋体" w:cs="仿宋"/>
          <w:b/>
          <w:color w:val="000000" w:themeColor="text1"/>
          <w14:textFill>
            <w14:solidFill>
              <w14:schemeClr w14:val="tx1"/>
            </w14:solidFill>
          </w14:textFill>
        </w:rPr>
        <w:t>与质疑事项相关的质疑请求</w:t>
      </w:r>
    </w:p>
    <w:p w14:paraId="2432853A">
      <w:pPr>
        <w:adjustRightInd w:val="0"/>
        <w:snapToGrid w:val="0"/>
        <w:spacing w:line="360" w:lineRule="auto"/>
        <w:rPr>
          <w:rFonts w:cs="仿宋"/>
          <w:color w:val="000000" w:themeColor="text1"/>
          <w:u w:val="dotted"/>
          <w14:textFill>
            <w14:solidFill>
              <w14:schemeClr w14:val="tx1"/>
            </w14:solidFill>
          </w14:textFill>
        </w:rPr>
      </w:pPr>
      <w:r>
        <w:rPr>
          <w:rFonts w:hint="eastAsia" w:cs="仿宋"/>
          <w:color w:val="000000" w:themeColor="text1"/>
          <w14:textFill>
            <w14:solidFill>
              <w14:schemeClr w14:val="tx1"/>
            </w14:solidFill>
          </w14:textFill>
        </w:rPr>
        <w:t>请求：</w:t>
      </w:r>
      <w:r>
        <w:rPr>
          <w:rFonts w:hint="eastAsia" w:cs="仿宋"/>
          <w:color w:val="000000" w:themeColor="text1"/>
          <w:u w:val="dotted"/>
          <w14:textFill>
            <w14:solidFill>
              <w14:schemeClr w14:val="tx1"/>
            </w14:solidFill>
          </w14:textFill>
        </w:rPr>
        <w:t xml:space="preserve">                                               </w:t>
      </w:r>
    </w:p>
    <w:p w14:paraId="0EF474C4">
      <w:pPr>
        <w:spacing w:line="360" w:lineRule="auto"/>
        <w:rPr>
          <w:color w:val="000000" w:themeColor="text1"/>
          <w14:textFill>
            <w14:solidFill>
              <w14:schemeClr w14:val="tx1"/>
            </w14:solidFill>
          </w14:textFill>
        </w:rPr>
      </w:pPr>
    </w:p>
    <w:p w14:paraId="1CA5F2DB">
      <w:pPr>
        <w:spacing w:line="360" w:lineRule="auto"/>
        <w:jc w:val="right"/>
        <w:rPr>
          <w:color w:val="000000" w:themeColor="text1"/>
          <w14:textFill>
            <w14:solidFill>
              <w14:schemeClr w14:val="tx1"/>
            </w14:solidFill>
          </w14:textFill>
        </w:rPr>
      </w:pPr>
      <w:r>
        <w:rPr>
          <w:rFonts w:hint="eastAsia"/>
          <w:color w:val="000000" w:themeColor="text1"/>
          <w14:textFill>
            <w14:solidFill>
              <w14:schemeClr w14:val="tx1"/>
            </w14:solidFill>
          </w14:textFill>
        </w:rPr>
        <w:t>签字（签章）：</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公章：</w:t>
      </w:r>
      <w:r>
        <w:rPr>
          <w:rFonts w:hint="eastAsia" w:cs="仿宋"/>
          <w:color w:val="000000" w:themeColor="text1"/>
          <w:u w:val="dotted"/>
          <w14:textFill>
            <w14:solidFill>
              <w14:schemeClr w14:val="tx1"/>
            </w14:solidFill>
          </w14:textFill>
        </w:rPr>
        <w:t xml:space="preserve">           .</w:t>
      </w:r>
    </w:p>
    <w:p w14:paraId="72CC9FFA">
      <w:pPr>
        <w:spacing w:line="360" w:lineRule="auto"/>
        <w:jc w:val="right"/>
        <w:rPr>
          <w:rFonts w:cs="仿宋"/>
          <w:color w:val="000000" w:themeColor="text1"/>
          <w:u w:val="dotted"/>
          <w14:textFill>
            <w14:solidFill>
              <w14:schemeClr w14:val="tx1"/>
            </w14:solidFill>
          </w14:textFill>
        </w:rPr>
      </w:pPr>
      <w:r>
        <w:rPr>
          <w:rFonts w:hint="eastAsia"/>
          <w:color w:val="000000" w:themeColor="text1"/>
          <w14:textFill>
            <w14:solidFill>
              <w14:schemeClr w14:val="tx1"/>
            </w14:solidFill>
          </w14:textFill>
        </w:rPr>
        <w:t>日期：</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年</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月</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日</w:t>
      </w:r>
    </w:p>
    <w:p w14:paraId="12950917">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质疑函制作说明：</w:t>
      </w:r>
    </w:p>
    <w:p w14:paraId="588F6BEF">
      <w:pPr>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1.供应商提出质疑时，应提交质疑函和必要的证明材料。</w:t>
      </w:r>
    </w:p>
    <w:p w14:paraId="49251613">
      <w:pPr>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2.质疑供应商若委托代理人进行质疑的，质疑函应按要求列明“授权代表”的有关内容，并在附件中提交由质疑供应商签署的授权委托书。授权委托书应载明代理人的姓名或者名称、代理事项、具体权限、期限和相关事项。 </w:t>
      </w:r>
    </w:p>
    <w:p w14:paraId="37539C21">
      <w:pPr>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3.质疑供应商若对项目的某一分包进行质疑，质疑函中应列明具体分包号。</w:t>
      </w:r>
    </w:p>
    <w:p w14:paraId="65087880">
      <w:pPr>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4.质疑函的质疑事项应具体、明确，并有必要的事实依据和法律依据。</w:t>
      </w:r>
    </w:p>
    <w:p w14:paraId="3A21A097">
      <w:pPr>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5.质疑函的质疑请求应与质疑事项相关。</w:t>
      </w:r>
    </w:p>
    <w:p w14:paraId="799237B1">
      <w:pPr>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6.质疑供应商为自然人的，质疑函应由本人签字；质疑供应商为法人或者其他组织的，质疑函应由法定代表人、主要负责人，或者其授权代表签字或者盖章，并加盖公章。</w:t>
      </w:r>
    </w:p>
    <w:p w14:paraId="683F5212">
      <w:pPr>
        <w:spacing w:line="360" w:lineRule="auto"/>
        <w:ind w:firstLine="420" w:firstLineChars="200"/>
        <w:rPr>
          <w:color w:val="000000" w:themeColor="text1"/>
          <w14:textFill>
            <w14:solidFill>
              <w14:schemeClr w14:val="tx1"/>
            </w14:solidFill>
          </w14:textFill>
        </w:rPr>
      </w:pPr>
      <w:bookmarkStart w:id="272" w:name="_Hlk104040558"/>
      <w:bookmarkEnd w:id="272"/>
      <w:r>
        <w:rPr>
          <w:rFonts w:hint="eastAsia"/>
          <w:color w:val="000000" w:themeColor="text1"/>
          <w14:textFill>
            <w14:solidFill>
              <w14:schemeClr w14:val="tx1"/>
            </w14:solidFill>
          </w14:textFill>
        </w:rPr>
        <w:t>7. 供应商应在提交的证明材料中对质疑点的内容作出相应的标识或以醒目的方式标明。</w:t>
      </w:r>
    </w:p>
    <w:p w14:paraId="31EB371D">
      <w:pPr>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br w:type="page"/>
      </w:r>
    </w:p>
    <w:p w14:paraId="5564165C">
      <w:pPr>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投诉书</w:t>
      </w:r>
    </w:p>
    <w:p w14:paraId="121B3E41">
      <w:pPr>
        <w:pStyle w:val="11"/>
        <w:numPr>
          <w:ilvl w:val="2"/>
          <w:numId w:val="29"/>
        </w:numPr>
        <w:spacing w:line="360" w:lineRule="auto"/>
        <w:ind w:left="0" w:firstLine="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投诉相关主体基本情况</w:t>
      </w:r>
    </w:p>
    <w:p w14:paraId="6A3B7236">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投诉人：</w:t>
      </w:r>
      <w:r>
        <w:rPr>
          <w:rFonts w:hint="eastAsia" w:cs="仿宋"/>
          <w:color w:val="000000" w:themeColor="text1"/>
          <w:u w:val="dotted"/>
          <w14:textFill>
            <w14:solidFill>
              <w14:schemeClr w14:val="tx1"/>
            </w14:solidFill>
          </w14:textFill>
        </w:rPr>
        <w:t xml:space="preserve">                 </w:t>
      </w:r>
    </w:p>
    <w:p w14:paraId="0A150C2A">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地 址：</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邮编：</w:t>
      </w:r>
      <w:r>
        <w:rPr>
          <w:rFonts w:hint="eastAsia" w:cs="仿宋"/>
          <w:color w:val="000000" w:themeColor="text1"/>
          <w:u w:val="dotted"/>
          <w14:textFill>
            <w14:solidFill>
              <w14:schemeClr w14:val="tx1"/>
            </w14:solidFill>
          </w14:textFill>
        </w:rPr>
        <w:t xml:space="preserve">                 </w:t>
      </w:r>
    </w:p>
    <w:p w14:paraId="10F0E6C2">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法定代表人/主要负责人：</w:t>
      </w:r>
      <w:r>
        <w:rPr>
          <w:rFonts w:hint="eastAsia" w:cs="仿宋"/>
          <w:color w:val="000000" w:themeColor="text1"/>
          <w:u w:val="dotted"/>
          <w14:textFill>
            <w14:solidFill>
              <w14:schemeClr w14:val="tx1"/>
            </w14:solidFill>
          </w14:textFill>
        </w:rPr>
        <w:t xml:space="preserve">                 </w:t>
      </w:r>
    </w:p>
    <w:p w14:paraId="5BEF5D9F">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联系电话：</w:t>
      </w:r>
      <w:r>
        <w:rPr>
          <w:rFonts w:hint="eastAsia" w:cs="仿宋"/>
          <w:color w:val="000000" w:themeColor="text1"/>
          <w:u w:val="dotted"/>
          <w14:textFill>
            <w14:solidFill>
              <w14:schemeClr w14:val="tx1"/>
            </w14:solidFill>
          </w14:textFill>
        </w:rPr>
        <w:t xml:space="preserve">                 </w:t>
      </w:r>
    </w:p>
    <w:p w14:paraId="6CB7D2AC">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授权代表：</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联系电话：</w:t>
      </w:r>
      <w:r>
        <w:rPr>
          <w:rFonts w:hint="eastAsia" w:cs="仿宋"/>
          <w:color w:val="000000" w:themeColor="text1"/>
          <w:u w:val="dotted"/>
          <w14:textFill>
            <w14:solidFill>
              <w14:schemeClr w14:val="tx1"/>
            </w14:solidFill>
          </w14:textFill>
        </w:rPr>
        <w:t xml:space="preserve">                 </w:t>
      </w:r>
    </w:p>
    <w:p w14:paraId="4979FA8C">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地址：</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邮编：</w:t>
      </w:r>
      <w:r>
        <w:rPr>
          <w:rFonts w:hint="eastAsia" w:cs="仿宋"/>
          <w:color w:val="000000" w:themeColor="text1"/>
          <w:u w:val="dotted"/>
          <w14:textFill>
            <w14:solidFill>
              <w14:schemeClr w14:val="tx1"/>
            </w14:solidFill>
          </w14:textFill>
        </w:rPr>
        <w:t xml:space="preserve">                 </w:t>
      </w:r>
    </w:p>
    <w:p w14:paraId="478565ED">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被投诉人1：</w:t>
      </w:r>
      <w:r>
        <w:rPr>
          <w:rFonts w:hint="eastAsia" w:cs="仿宋"/>
          <w:color w:val="000000" w:themeColor="text1"/>
          <w:u w:val="dotted"/>
          <w14:textFill>
            <w14:solidFill>
              <w14:schemeClr w14:val="tx1"/>
            </w14:solidFill>
          </w14:textFill>
        </w:rPr>
        <w:t xml:space="preserve">                 </w:t>
      </w:r>
    </w:p>
    <w:p w14:paraId="3B180225">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地址：</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邮编：</w:t>
      </w:r>
      <w:r>
        <w:rPr>
          <w:rFonts w:hint="eastAsia" w:cs="仿宋"/>
          <w:color w:val="000000" w:themeColor="text1"/>
          <w:u w:val="dotted"/>
          <w14:textFill>
            <w14:solidFill>
              <w14:schemeClr w14:val="tx1"/>
            </w14:solidFill>
          </w14:textFill>
        </w:rPr>
        <w:t xml:space="preserve">                 </w:t>
      </w:r>
    </w:p>
    <w:p w14:paraId="44F33F2F">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联系人：</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联系电话：</w:t>
      </w:r>
      <w:r>
        <w:rPr>
          <w:rFonts w:hint="eastAsia" w:cs="仿宋"/>
          <w:color w:val="000000" w:themeColor="text1"/>
          <w:u w:val="dotted"/>
          <w14:textFill>
            <w14:solidFill>
              <w14:schemeClr w14:val="tx1"/>
            </w14:solidFill>
          </w14:textFill>
        </w:rPr>
        <w:t xml:space="preserve">                 </w:t>
      </w:r>
    </w:p>
    <w:p w14:paraId="5DABFACB">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被投诉人2：</w:t>
      </w:r>
      <w:r>
        <w:rPr>
          <w:rFonts w:hint="eastAsia" w:cs="仿宋"/>
          <w:color w:val="000000" w:themeColor="text1"/>
          <w:u w:val="dotted"/>
          <w14:textFill>
            <w14:solidFill>
              <w14:schemeClr w14:val="tx1"/>
            </w14:solidFill>
          </w14:textFill>
        </w:rPr>
        <w:t xml:space="preserve">                 </w:t>
      </w:r>
    </w:p>
    <w:p w14:paraId="66101F84">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w:t>
      </w:r>
    </w:p>
    <w:p w14:paraId="35A16C6C">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相关供应商：</w:t>
      </w:r>
      <w:r>
        <w:rPr>
          <w:rFonts w:hint="eastAsia" w:cs="仿宋"/>
          <w:color w:val="000000" w:themeColor="text1"/>
          <w:u w:val="dotted"/>
          <w14:textFill>
            <w14:solidFill>
              <w14:schemeClr w14:val="tx1"/>
            </w14:solidFill>
          </w14:textFill>
        </w:rPr>
        <w:t xml:space="preserve">                 </w:t>
      </w:r>
    </w:p>
    <w:p w14:paraId="79C85E89">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地址：</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邮编：</w:t>
      </w:r>
      <w:r>
        <w:rPr>
          <w:rFonts w:hint="eastAsia" w:cs="仿宋"/>
          <w:color w:val="000000" w:themeColor="text1"/>
          <w:u w:val="dotted"/>
          <w14:textFill>
            <w14:solidFill>
              <w14:schemeClr w14:val="tx1"/>
            </w14:solidFill>
          </w14:textFill>
        </w:rPr>
        <w:t xml:space="preserve">                 </w:t>
      </w:r>
    </w:p>
    <w:p w14:paraId="144FD9F7">
      <w:pPr>
        <w:pStyle w:val="11"/>
        <w:spacing w:line="360" w:lineRule="auto"/>
        <w:rPr>
          <w:rFonts w:cs="仿宋"/>
          <w:color w:val="000000" w:themeColor="text1"/>
          <w:u w:val="dotted"/>
          <w14:textFill>
            <w14:solidFill>
              <w14:schemeClr w14:val="tx1"/>
            </w14:solidFill>
          </w14:textFill>
        </w:rPr>
      </w:pPr>
      <w:r>
        <w:rPr>
          <w:rFonts w:hint="eastAsia"/>
          <w:color w:val="000000" w:themeColor="text1"/>
          <w14:textFill>
            <w14:solidFill>
              <w14:schemeClr w14:val="tx1"/>
            </w14:solidFill>
          </w14:textFill>
        </w:rPr>
        <w:t>联系人：</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联系电话：</w:t>
      </w:r>
      <w:r>
        <w:rPr>
          <w:rFonts w:hint="eastAsia" w:cs="仿宋"/>
          <w:color w:val="000000" w:themeColor="text1"/>
          <w:u w:val="dotted"/>
          <w14:textFill>
            <w14:solidFill>
              <w14:schemeClr w14:val="tx1"/>
            </w14:solidFill>
          </w14:textFill>
        </w:rPr>
        <w:t xml:space="preserve">                 </w:t>
      </w:r>
    </w:p>
    <w:p w14:paraId="19995F95">
      <w:pPr>
        <w:pStyle w:val="11"/>
        <w:numPr>
          <w:ilvl w:val="2"/>
          <w:numId w:val="29"/>
        </w:numPr>
        <w:spacing w:line="360" w:lineRule="auto"/>
        <w:ind w:left="0" w:firstLine="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投诉项目基本情况</w:t>
      </w:r>
    </w:p>
    <w:p w14:paraId="1C7146A2">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采购项目名称：</w:t>
      </w:r>
      <w:r>
        <w:rPr>
          <w:rFonts w:hint="eastAsia" w:cs="仿宋"/>
          <w:color w:val="000000" w:themeColor="text1"/>
          <w:u w:val="dotted"/>
          <w14:textFill>
            <w14:solidFill>
              <w14:schemeClr w14:val="tx1"/>
            </w14:solidFill>
          </w14:textFill>
        </w:rPr>
        <w:t xml:space="preserve">                 </w:t>
      </w:r>
    </w:p>
    <w:p w14:paraId="107B803F">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采购项目编号：</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包号：</w:t>
      </w:r>
      <w:r>
        <w:rPr>
          <w:rFonts w:hint="eastAsia" w:cs="仿宋"/>
          <w:color w:val="000000" w:themeColor="text1"/>
          <w:u w:val="dotted"/>
          <w14:textFill>
            <w14:solidFill>
              <w14:schemeClr w14:val="tx1"/>
            </w14:solidFill>
          </w14:textFill>
        </w:rPr>
        <w:t xml:space="preserve">                 </w:t>
      </w:r>
    </w:p>
    <w:p w14:paraId="13090B7B">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采购人名称：</w:t>
      </w:r>
      <w:r>
        <w:rPr>
          <w:rFonts w:hint="eastAsia" w:cs="仿宋"/>
          <w:color w:val="000000" w:themeColor="text1"/>
          <w:u w:val="dotted"/>
          <w14:textFill>
            <w14:solidFill>
              <w14:schemeClr w14:val="tx1"/>
            </w14:solidFill>
          </w14:textFill>
        </w:rPr>
        <w:t xml:space="preserve">                 </w:t>
      </w:r>
    </w:p>
    <w:p w14:paraId="5984C5AC">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代理机构名称：</w:t>
      </w:r>
      <w:r>
        <w:rPr>
          <w:rFonts w:hint="eastAsia" w:cs="仿宋"/>
          <w:color w:val="000000" w:themeColor="text1"/>
          <w:u w:val="dotted"/>
          <w14:textFill>
            <w14:solidFill>
              <w14:schemeClr w14:val="tx1"/>
            </w14:solidFill>
          </w14:textFill>
        </w:rPr>
        <w:t xml:space="preserve">                 </w:t>
      </w:r>
    </w:p>
    <w:p w14:paraId="6383F392">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磋商文件公告：</w:t>
      </w:r>
      <w:r>
        <w:rPr>
          <w:rFonts w:hint="eastAsia"/>
          <w:color w:val="000000" w:themeColor="text1"/>
          <w:u w:val="single"/>
          <w14:textFill>
            <w14:solidFill>
              <w14:schemeClr w14:val="tx1"/>
            </w14:solidFill>
          </w14:textFill>
        </w:rPr>
        <w:t>是/否</w:t>
      </w:r>
      <w:r>
        <w:rPr>
          <w:rFonts w:hint="eastAsia"/>
          <w:color w:val="000000" w:themeColor="text1"/>
          <w14:textFill>
            <w14:solidFill>
              <w14:schemeClr w14:val="tx1"/>
            </w14:solidFill>
          </w14:textFill>
        </w:rPr>
        <w:t xml:space="preserve"> 公告期限：</w:t>
      </w:r>
      <w:r>
        <w:rPr>
          <w:rFonts w:hint="eastAsia" w:cs="仿宋"/>
          <w:color w:val="000000" w:themeColor="text1"/>
          <w:u w:val="dotted"/>
          <w14:textFill>
            <w14:solidFill>
              <w14:schemeClr w14:val="tx1"/>
            </w14:solidFill>
          </w14:textFill>
        </w:rPr>
        <w:t xml:space="preserve">                 </w:t>
      </w:r>
    </w:p>
    <w:p w14:paraId="19E60569">
      <w:pPr>
        <w:pStyle w:val="11"/>
        <w:spacing w:line="360" w:lineRule="auto"/>
        <w:rPr>
          <w:rFonts w:cs="仿宋"/>
          <w:color w:val="000000" w:themeColor="text1"/>
          <w:u w:val="dotted"/>
          <w14:textFill>
            <w14:solidFill>
              <w14:schemeClr w14:val="tx1"/>
            </w14:solidFill>
          </w14:textFill>
        </w:rPr>
      </w:pPr>
      <w:r>
        <w:rPr>
          <w:rFonts w:hint="eastAsia"/>
          <w:color w:val="000000" w:themeColor="text1"/>
          <w14:textFill>
            <w14:solidFill>
              <w14:schemeClr w14:val="tx1"/>
            </w14:solidFill>
          </w14:textFill>
        </w:rPr>
        <w:t>采购结果公告：</w:t>
      </w:r>
      <w:r>
        <w:rPr>
          <w:rFonts w:hint="eastAsia"/>
          <w:color w:val="000000" w:themeColor="text1"/>
          <w:u w:val="single"/>
          <w14:textFill>
            <w14:solidFill>
              <w14:schemeClr w14:val="tx1"/>
            </w14:solidFill>
          </w14:textFill>
        </w:rPr>
        <w:t>是/否</w:t>
      </w:r>
      <w:r>
        <w:rPr>
          <w:rFonts w:hint="eastAsia"/>
          <w:color w:val="000000" w:themeColor="text1"/>
          <w14:textFill>
            <w14:solidFill>
              <w14:schemeClr w14:val="tx1"/>
            </w14:solidFill>
          </w14:textFill>
        </w:rPr>
        <w:t xml:space="preserve"> 公告期限：</w:t>
      </w:r>
      <w:r>
        <w:rPr>
          <w:rFonts w:hint="eastAsia" w:cs="仿宋"/>
          <w:color w:val="000000" w:themeColor="text1"/>
          <w:u w:val="dotted"/>
          <w14:textFill>
            <w14:solidFill>
              <w14:schemeClr w14:val="tx1"/>
            </w14:solidFill>
          </w14:textFill>
        </w:rPr>
        <w:t xml:space="preserve">                 </w:t>
      </w:r>
    </w:p>
    <w:p w14:paraId="5D2A912D">
      <w:pPr>
        <w:pStyle w:val="11"/>
        <w:numPr>
          <w:ilvl w:val="2"/>
          <w:numId w:val="29"/>
        </w:numPr>
        <w:spacing w:line="360" w:lineRule="auto"/>
        <w:ind w:left="0" w:firstLine="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质疑基本情况</w:t>
      </w:r>
    </w:p>
    <w:p w14:paraId="4CDF6A44">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投诉人于 ____年____月____日,向提出质疑，质疑事项为：</w:t>
      </w:r>
      <w:r>
        <w:rPr>
          <w:rFonts w:hint="eastAsia" w:cs="仿宋"/>
          <w:color w:val="000000" w:themeColor="text1"/>
          <w:u w:val="dotted"/>
          <w14:textFill>
            <w14:solidFill>
              <w14:schemeClr w14:val="tx1"/>
            </w14:solidFill>
          </w14:textFill>
        </w:rPr>
        <w:t xml:space="preserve">                 </w:t>
      </w:r>
    </w:p>
    <w:p w14:paraId="43D40E5E">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u w:val="single"/>
          <w14:textFill>
            <w14:solidFill>
              <w14:schemeClr w14:val="tx1"/>
            </w14:solidFill>
          </w14:textFill>
        </w:rPr>
        <w:t xml:space="preserve">    采购人/代理机构</w:t>
      </w:r>
      <w:r>
        <w:rPr>
          <w:rFonts w:hint="eastAsia"/>
          <w:color w:val="000000" w:themeColor="text1"/>
          <w14:textFill>
            <w14:solidFill>
              <w14:schemeClr w14:val="tx1"/>
            </w14:solidFill>
          </w14:textFill>
        </w:rPr>
        <w:t>于____年____月____日,就质疑事项作出了答复/没有在法定期限内作出答复。</w:t>
      </w:r>
    </w:p>
    <w:p w14:paraId="719EBCF3">
      <w:pPr>
        <w:pStyle w:val="11"/>
        <w:numPr>
          <w:ilvl w:val="2"/>
          <w:numId w:val="29"/>
        </w:numPr>
        <w:spacing w:line="360" w:lineRule="auto"/>
        <w:ind w:left="0" w:firstLine="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投诉事项具体内容</w:t>
      </w:r>
    </w:p>
    <w:p w14:paraId="55ADDB70">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投诉事项 1：</w:t>
      </w:r>
      <w:r>
        <w:rPr>
          <w:rFonts w:hint="eastAsia" w:cs="仿宋"/>
          <w:color w:val="000000" w:themeColor="text1"/>
          <w:u w:val="dotted"/>
          <w14:textFill>
            <w14:solidFill>
              <w14:schemeClr w14:val="tx1"/>
            </w14:solidFill>
          </w14:textFill>
        </w:rPr>
        <w:t xml:space="preserve">                 </w:t>
      </w:r>
    </w:p>
    <w:p w14:paraId="6DE05D60">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事实依据：</w:t>
      </w:r>
      <w:r>
        <w:rPr>
          <w:rFonts w:hint="eastAsia" w:cs="仿宋"/>
          <w:color w:val="000000" w:themeColor="text1"/>
          <w:u w:val="dotted"/>
          <w14:textFill>
            <w14:solidFill>
              <w14:schemeClr w14:val="tx1"/>
            </w14:solidFill>
          </w14:textFill>
        </w:rPr>
        <w:t xml:space="preserve">                 </w:t>
      </w:r>
    </w:p>
    <w:p w14:paraId="3B08BCF8">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法律依据：</w:t>
      </w:r>
      <w:r>
        <w:rPr>
          <w:rFonts w:hint="eastAsia" w:cs="仿宋"/>
          <w:color w:val="000000" w:themeColor="text1"/>
          <w:u w:val="dotted"/>
          <w14:textFill>
            <w14:solidFill>
              <w14:schemeClr w14:val="tx1"/>
            </w14:solidFill>
          </w14:textFill>
        </w:rPr>
        <w:t xml:space="preserve">                 </w:t>
      </w:r>
    </w:p>
    <w:p w14:paraId="31D09981">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投诉事项2：</w:t>
      </w:r>
      <w:r>
        <w:rPr>
          <w:rFonts w:hint="eastAsia" w:cs="仿宋"/>
          <w:color w:val="000000" w:themeColor="text1"/>
          <w:u w:val="dotted"/>
          <w14:textFill>
            <w14:solidFill>
              <w14:schemeClr w14:val="tx1"/>
            </w14:solidFill>
          </w14:textFill>
        </w:rPr>
        <w:t xml:space="preserve">                 </w:t>
      </w:r>
    </w:p>
    <w:p w14:paraId="29B2F21A">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w:t>
      </w:r>
    </w:p>
    <w:p w14:paraId="7763D365">
      <w:pPr>
        <w:pStyle w:val="11"/>
        <w:numPr>
          <w:ilvl w:val="2"/>
          <w:numId w:val="29"/>
        </w:numPr>
        <w:spacing w:line="360" w:lineRule="auto"/>
        <w:ind w:left="0" w:firstLine="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与投诉事项相关的投诉请求</w:t>
      </w:r>
    </w:p>
    <w:p w14:paraId="17082720">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请求：</w:t>
      </w:r>
      <w:r>
        <w:rPr>
          <w:rFonts w:hint="eastAsia" w:cs="仿宋"/>
          <w:color w:val="000000" w:themeColor="text1"/>
          <w:u w:val="dotted"/>
          <w14:textFill>
            <w14:solidFill>
              <w14:schemeClr w14:val="tx1"/>
            </w14:solidFill>
          </w14:textFill>
        </w:rPr>
        <w:t xml:space="preserve">                 </w:t>
      </w:r>
    </w:p>
    <w:p w14:paraId="519328DA">
      <w:pPr>
        <w:pStyle w:val="11"/>
        <w:spacing w:line="360" w:lineRule="auto"/>
        <w:rPr>
          <w:color w:val="000000" w:themeColor="text1"/>
          <w14:textFill>
            <w14:solidFill>
              <w14:schemeClr w14:val="tx1"/>
            </w14:solidFill>
          </w14:textFill>
        </w:rPr>
      </w:pPr>
    </w:p>
    <w:p w14:paraId="176F4C07">
      <w:pPr>
        <w:spacing w:line="360" w:lineRule="auto"/>
        <w:jc w:val="right"/>
        <w:rPr>
          <w:color w:val="000000" w:themeColor="text1"/>
          <w14:textFill>
            <w14:solidFill>
              <w14:schemeClr w14:val="tx1"/>
            </w14:solidFill>
          </w14:textFill>
        </w:rPr>
      </w:pPr>
      <w:r>
        <w:rPr>
          <w:rFonts w:hint="eastAsia"/>
          <w:color w:val="000000" w:themeColor="text1"/>
          <w14:textFill>
            <w14:solidFill>
              <w14:schemeClr w14:val="tx1"/>
            </w14:solidFill>
          </w14:textFill>
        </w:rPr>
        <w:t>签字（签章）：</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公章：</w:t>
      </w:r>
      <w:r>
        <w:rPr>
          <w:rFonts w:hint="eastAsia" w:cs="仿宋"/>
          <w:color w:val="000000" w:themeColor="text1"/>
          <w:u w:val="dotted"/>
          <w14:textFill>
            <w14:solidFill>
              <w14:schemeClr w14:val="tx1"/>
            </w14:solidFill>
          </w14:textFill>
        </w:rPr>
        <w:t xml:space="preserve">           .</w:t>
      </w:r>
    </w:p>
    <w:p w14:paraId="1A83E61D">
      <w:pPr>
        <w:pStyle w:val="11"/>
        <w:spacing w:line="360" w:lineRule="auto"/>
        <w:jc w:val="right"/>
        <w:rPr>
          <w:color w:val="000000" w:themeColor="text1"/>
          <w14:textFill>
            <w14:solidFill>
              <w14:schemeClr w14:val="tx1"/>
            </w14:solidFill>
          </w14:textFill>
        </w:rPr>
      </w:pPr>
      <w:r>
        <w:rPr>
          <w:rFonts w:hint="eastAsia"/>
          <w:color w:val="000000" w:themeColor="text1"/>
          <w14:textFill>
            <w14:solidFill>
              <w14:schemeClr w14:val="tx1"/>
            </w14:solidFill>
          </w14:textFill>
        </w:rPr>
        <w:t>日期：</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年</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月</w:t>
      </w:r>
      <w:r>
        <w:rPr>
          <w:rFonts w:hint="eastAsia" w:cs="仿宋"/>
          <w:color w:val="000000" w:themeColor="text1"/>
          <w:u w:val="dotted"/>
          <w14:textFill>
            <w14:solidFill>
              <w14:schemeClr w14:val="tx1"/>
            </w14:solidFill>
          </w14:textFill>
        </w:rPr>
        <w:t xml:space="preserve">     </w:t>
      </w:r>
      <w:r>
        <w:rPr>
          <w:rFonts w:hint="eastAsia"/>
          <w:color w:val="000000" w:themeColor="text1"/>
          <w14:textFill>
            <w14:solidFill>
              <w14:schemeClr w14:val="tx1"/>
            </w14:solidFill>
          </w14:textFill>
        </w:rPr>
        <w:t>日</w:t>
      </w:r>
    </w:p>
    <w:p w14:paraId="474F2A25">
      <w:pPr>
        <w:pStyle w:val="11"/>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投诉书制作说明：</w:t>
      </w:r>
    </w:p>
    <w:p w14:paraId="1386B92D">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1.投诉人提起投诉时，应当提交投诉书和必要的证明材料，并按照被投诉人和与投诉事项有关的供应商数量提供投诉书副本。</w:t>
      </w:r>
    </w:p>
    <w:p w14:paraId="04A33ED0">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5D7AC7">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3.投诉人若对项目的某一分包进行投诉，投诉书应列明具体分包号。</w:t>
      </w:r>
    </w:p>
    <w:p w14:paraId="163FDC0E">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4.投诉书应简要列明质疑事项，质疑函、质疑答复等作为附件材料提供。</w:t>
      </w:r>
    </w:p>
    <w:p w14:paraId="068FA713">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5.投诉书的投诉事项应具体、明确，并有必要的事实依据和法律依据。</w:t>
      </w:r>
    </w:p>
    <w:p w14:paraId="39D5065E">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6.投诉书的投诉请求应与投诉事项相关。</w:t>
      </w:r>
    </w:p>
    <w:p w14:paraId="6284C2FC">
      <w:pPr>
        <w:pStyle w:val="11"/>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7.投诉人为自然人的，投诉书应当由本人签字；投诉人为法人或者其他组织的，投诉书应当由法定代表人、主要负责人，或者其授权代表签字或者盖章，并加盖公章。</w:t>
      </w:r>
    </w:p>
    <w:p w14:paraId="3CB54742">
      <w:pPr>
        <w:rPr>
          <w:color w:val="000000" w:themeColor="text1"/>
          <w14:textFill>
            <w14:solidFill>
              <w14:schemeClr w14:val="tx1"/>
            </w14:solidFill>
          </w14:textFill>
        </w:rPr>
      </w:pPr>
    </w:p>
    <w:sectPr>
      <w:pgSz w:w="11907" w:h="16839"/>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鼎CS中黑">
    <w:altName w:val="黑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仿宋体">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Futura-Heavy">
    <w:altName w:val="Segoe Print"/>
    <w:panose1 w:val="00000000000000000000"/>
    <w:charset w:val="00"/>
    <w:family w:val="swiss"/>
    <w:pitch w:val="default"/>
    <w:sig w:usb0="00000000" w:usb1="00000000" w:usb2="00000000" w:usb3="00000000" w:csb0="000001FB" w:csb1="00000000"/>
  </w:font>
  <w:font w:name="Segoe Print">
    <w:panose1 w:val="02000600000000000000"/>
    <w:charset w:val="00"/>
    <w:family w:val="auto"/>
    <w:pitch w:val="default"/>
    <w:sig w:usb0="0000028F" w:usb1="00000000" w:usb2="00000000" w:usb3="00000000" w:csb0="2000009F" w:csb1="47010000"/>
  </w:font>
  <w:font w:name="方正小标宋_GBK">
    <w:panose1 w:val="02000000000000000000"/>
    <w:charset w:val="86"/>
    <w:family w:val="script"/>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 w:name="CESI仿宋-GB13000">
    <w:altName w:val="仿宋"/>
    <w:panose1 w:val="00000000000000000000"/>
    <w:charset w:val="86"/>
    <w:family w:val="script"/>
    <w:pitch w:val="default"/>
    <w:sig w:usb0="00000000" w:usb1="00000000" w:usb2="00000016" w:usb3="00000000" w:csb0="0004000F" w:csb1="00000000"/>
  </w:font>
  <w:font w:name="CESI黑体-GB13000">
    <w:altName w:val="黑体"/>
    <w:panose1 w:val="00000000000000000000"/>
    <w:charset w:val="86"/>
    <w:family w:val="script"/>
    <w:pitch w:val="default"/>
    <w:sig w:usb0="00000000" w:usb1="00000000" w:usb2="00000016" w:usb3="00000000" w:csb0="0004000F" w:csb1="00000000"/>
  </w:font>
  <w:font w:name="方正楷体_GBK">
    <w:panose1 w:val="02000000000000000000"/>
    <w:charset w:val="86"/>
    <w:family w:val="script"/>
    <w:pitch w:val="default"/>
    <w:sig w:usb0="A00002BF" w:usb1="38CF7CFA" w:usb2="00082016" w:usb3="00000000" w:csb0="00040001" w:csb1="00000000"/>
  </w:font>
  <w:font w:name="方正黑体_GBK">
    <w:panose1 w:val="02000000000000000000"/>
    <w:charset w:val="86"/>
    <w:family w:val="script"/>
    <w:pitch w:val="default"/>
    <w:sig w:usb0="A00002BF" w:usb1="38CF7CFA" w:usb2="00082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KSOF9675F26C">
    <w:panose1 w:val="02000500000000000000"/>
    <w:charset w:val="86"/>
    <w:family w:val="auto"/>
    <w:pitch w:val="default"/>
    <w:sig w:usb0="00000001" w:usb1="00000000" w:usb2="00000000" w:usb3="00000000" w:csb0="00040001" w:csb1="00000000"/>
  </w:font>
  <w:font w:name="KSOF967666CB">
    <w:panose1 w:val="02000500000000000000"/>
    <w:charset w:val="86"/>
    <w:family w:val="auto"/>
    <w:pitch w:val="default"/>
    <w:sig w:usb0="00000001" w:usb1="00000000" w:usb2="00000000" w:usb3="00000000" w:csb0="00040001" w:csb1="00000000"/>
  </w:font>
  <w:font w:name="KSOF344F3A2C">
    <w:panose1 w:val="02000500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F17CD9">
    <w:pPr>
      <w:pStyle w:val="16"/>
      <w:ind w:firstLine="480"/>
      <w:jc w:val="center"/>
    </w:pPr>
    <w:r>
      <w:fldChar w:fldCharType="begin"/>
    </w:r>
    <w:r>
      <w:instrText xml:space="preserve">PAGE   \* MERGEFORMAT</w:instrText>
    </w:r>
    <w:r>
      <w:fldChar w:fldCharType="separate"/>
    </w:r>
    <w:r>
      <w:rPr>
        <w:lang w:val="zh-CN"/>
      </w:rPr>
      <w:t>2</w:t>
    </w:r>
    <w:r>
      <w:fldChar w:fldCharType="end"/>
    </w:r>
  </w:p>
  <w:p w14:paraId="56650D83">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56207">
    <w:pPr>
      <w:pStyle w:val="16"/>
      <w:ind w:firstLine="480"/>
      <w:jc w:val="center"/>
    </w:pPr>
    <w:r>
      <w:fldChar w:fldCharType="begin"/>
    </w:r>
    <w:r>
      <w:instrText xml:space="preserve">PAGE   \* MERGEFORMAT</w:instrText>
    </w:r>
    <w:r>
      <w:fldChar w:fldCharType="separate"/>
    </w:r>
    <w:r>
      <w:rPr>
        <w:lang w:val="zh-CN"/>
      </w:rPr>
      <w:t>2</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A307BC"/>
    <w:multiLevelType w:val="singleLevel"/>
    <w:tmpl w:val="EDA307BC"/>
    <w:lvl w:ilvl="0" w:tentative="0">
      <w:start w:val="1"/>
      <w:numFmt w:val="decimal"/>
      <w:pStyle w:val="20"/>
      <w:lvlText w:val="%1."/>
      <w:lvlJc w:val="left"/>
      <w:pPr>
        <w:tabs>
          <w:tab w:val="left" w:pos="2040"/>
        </w:tabs>
        <w:ind w:left="2040" w:hanging="360"/>
      </w:pPr>
    </w:lvl>
  </w:abstractNum>
  <w:abstractNum w:abstractNumId="1">
    <w:nsid w:val="F7EB7325"/>
    <w:multiLevelType w:val="singleLevel"/>
    <w:tmpl w:val="F7EB7325"/>
    <w:lvl w:ilvl="0" w:tentative="0">
      <w:start w:val="1"/>
      <w:numFmt w:val="decimal"/>
      <w:lvlText w:val="%1."/>
      <w:lvlJc w:val="left"/>
      <w:pPr>
        <w:ind w:left="0" w:firstLine="0"/>
      </w:pPr>
    </w:lvl>
  </w:abstractNum>
  <w:abstractNum w:abstractNumId="2">
    <w:nsid w:val="00000001"/>
    <w:multiLevelType w:val="multilevel"/>
    <w:tmpl w:val="00000001"/>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3">
    <w:nsid w:val="00000002"/>
    <w:multiLevelType w:val="multilevel"/>
    <w:tmpl w:val="00000002"/>
    <w:lvl w:ilvl="0" w:tentative="0">
      <w:start w:val="1"/>
      <w:numFmt w:val="chineseCountingThousand"/>
      <w:lvlText w:val="格式%1："/>
      <w:lvlJc w:val="left"/>
      <w:pPr>
        <w:ind w:left="420" w:hanging="420"/>
      </w:pPr>
      <w:rPr>
        <w:rFonts w:hint="eastAsia" w:ascii="宋体" w:hAnsi="宋体" w:eastAsia="宋体"/>
        <w:sz w:val="24"/>
        <w:szCs w:val="24"/>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4">
    <w:nsid w:val="00000003"/>
    <w:multiLevelType w:val="multilevel"/>
    <w:tmpl w:val="00000003"/>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5">
    <w:nsid w:val="00000004"/>
    <w:multiLevelType w:val="multilevel"/>
    <w:tmpl w:val="00000004"/>
    <w:lvl w:ilvl="0" w:tentative="0">
      <w:start w:val="1"/>
      <w:numFmt w:val="decimal"/>
      <w:suff w:val="nothing"/>
      <w:lvlText w:val="%1."/>
      <w:lvlJc w:val="left"/>
      <w:pPr>
        <w:ind w:left="360" w:hanging="360"/>
      </w:pPr>
      <w:rPr>
        <w:rFonts w:hint="default" w:ascii="Times New Roman" w:hAnsi="Times New Roman"/>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6">
    <w:nsid w:val="00000005"/>
    <w:multiLevelType w:val="multilevel"/>
    <w:tmpl w:val="00000005"/>
    <w:lvl w:ilvl="0" w:tentative="0">
      <w:start w:val="5"/>
      <w:numFmt w:val="chineseCounting"/>
      <w:suff w:val="space"/>
      <w:lvlText w:val="第%1章"/>
      <w:lvlJc w:val="left"/>
      <w:pPr>
        <w:ind w:left="0" w:firstLine="0"/>
      </w:pPr>
    </w:lvl>
    <w:lvl w:ilvl="1" w:tentative="0">
      <w:start w:val="5"/>
      <w:numFmt w:val="chineseCounting"/>
      <w:lvlRestart w:val="0"/>
      <w:suff w:val="space"/>
      <w:lvlText w:val="第%1章"/>
      <w:lvlJc w:val="left"/>
      <w:pPr>
        <w:ind w:left="0" w:firstLine="0"/>
      </w:pPr>
    </w:lvl>
    <w:lvl w:ilvl="2" w:tentative="0">
      <w:start w:val="5"/>
      <w:numFmt w:val="chineseCounting"/>
      <w:lvlRestart w:val="0"/>
      <w:suff w:val="space"/>
      <w:lvlText w:val="第%1章"/>
      <w:lvlJc w:val="left"/>
      <w:pPr>
        <w:ind w:left="0" w:firstLine="0"/>
      </w:pPr>
    </w:lvl>
    <w:lvl w:ilvl="3" w:tentative="0">
      <w:start w:val="5"/>
      <w:numFmt w:val="chineseCounting"/>
      <w:lvlRestart w:val="0"/>
      <w:suff w:val="space"/>
      <w:lvlText w:val="第%1章"/>
      <w:lvlJc w:val="left"/>
      <w:pPr>
        <w:ind w:left="0" w:firstLine="0"/>
      </w:pPr>
    </w:lvl>
    <w:lvl w:ilvl="4" w:tentative="0">
      <w:start w:val="5"/>
      <w:numFmt w:val="chineseCounting"/>
      <w:lvlRestart w:val="0"/>
      <w:suff w:val="space"/>
      <w:lvlText w:val="第%1章"/>
      <w:lvlJc w:val="left"/>
      <w:pPr>
        <w:ind w:left="0" w:firstLine="0"/>
      </w:pPr>
    </w:lvl>
    <w:lvl w:ilvl="5" w:tentative="0">
      <w:start w:val="5"/>
      <w:numFmt w:val="chineseCounting"/>
      <w:lvlRestart w:val="0"/>
      <w:suff w:val="space"/>
      <w:lvlText w:val="第%1章"/>
      <w:lvlJc w:val="left"/>
      <w:pPr>
        <w:ind w:left="0" w:firstLine="0"/>
      </w:pPr>
    </w:lvl>
    <w:lvl w:ilvl="6" w:tentative="0">
      <w:start w:val="5"/>
      <w:numFmt w:val="chineseCounting"/>
      <w:lvlRestart w:val="0"/>
      <w:suff w:val="space"/>
      <w:lvlText w:val="第%1章"/>
      <w:lvlJc w:val="left"/>
      <w:pPr>
        <w:ind w:left="0" w:firstLine="0"/>
      </w:pPr>
    </w:lvl>
    <w:lvl w:ilvl="7" w:tentative="0">
      <w:start w:val="5"/>
      <w:numFmt w:val="chineseCounting"/>
      <w:lvlRestart w:val="0"/>
      <w:suff w:val="space"/>
      <w:lvlText w:val="第%1章"/>
      <w:lvlJc w:val="left"/>
      <w:pPr>
        <w:ind w:left="0" w:firstLine="0"/>
      </w:pPr>
    </w:lvl>
    <w:lvl w:ilvl="8" w:tentative="0">
      <w:start w:val="5"/>
      <w:numFmt w:val="chineseCounting"/>
      <w:lvlRestart w:val="0"/>
      <w:suff w:val="space"/>
      <w:lvlText w:val="第%1章"/>
      <w:lvlJc w:val="left"/>
      <w:pPr>
        <w:ind w:left="0" w:firstLine="0"/>
      </w:pPr>
    </w:lvl>
  </w:abstractNum>
  <w:abstractNum w:abstractNumId="7">
    <w:nsid w:val="00000006"/>
    <w:multiLevelType w:val="multilevel"/>
    <w:tmpl w:val="00000006"/>
    <w:lvl w:ilvl="0" w:tentative="0">
      <w:start w:val="1"/>
      <w:numFmt w:val="chineseCountingThousand"/>
      <w:lvlText w:val="%1、"/>
      <w:lvlJc w:val="left"/>
      <w:pPr>
        <w:ind w:left="420" w:hanging="420"/>
      </w:pPr>
      <w:rPr>
        <w:rFonts w:hint="default" w:ascii="Times New Roman" w:hAnsi="Times New Roman"/>
      </w:rPr>
    </w:lvl>
    <w:lvl w:ilvl="1" w:tentative="0">
      <w:start w:val="1"/>
      <w:numFmt w:val="lowerLetter"/>
      <w:lvlText w:val="%2)"/>
      <w:lvlJc w:val="left"/>
      <w:pPr>
        <w:ind w:left="840" w:hanging="420"/>
      </w:pPr>
      <w:rPr>
        <w:rFonts w:hint="default" w:ascii="Times New Roman" w:hAnsi="Times New Roman"/>
      </w:rPr>
    </w:lvl>
    <w:lvl w:ilvl="2" w:tentative="0">
      <w:start w:val="1"/>
      <w:numFmt w:val="chineseCountingThousand"/>
      <w:lvlText w:val="%3、"/>
      <w:lvlJc w:val="lef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8">
    <w:nsid w:val="00000007"/>
    <w:multiLevelType w:val="multilevel"/>
    <w:tmpl w:val="00000007"/>
    <w:lvl w:ilvl="0" w:tentative="0">
      <w:start w:val="1"/>
      <w:numFmt w:val="decimal"/>
      <w:suff w:val="nothing"/>
      <w:lvlText w:val="%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rPr>
        <w:rFonts w:hint="default" w:ascii="Times New Roman" w:hAnsi="Times New Roman"/>
      </w:rPr>
    </w:lvl>
    <w:lvl w:ilvl="2" w:tentative="0">
      <w:start w:val="1"/>
      <w:numFmt w:val="decimal"/>
      <w:lvlText w:val="%3."/>
      <w:lvlJc w:val="right"/>
      <w:pPr>
        <w:ind w:left="1320" w:hanging="440"/>
      </w:pPr>
      <w:rPr>
        <w:rFonts w:hint="default" w:ascii="Times New Roman" w:hAnsi="Times New Roman"/>
      </w:rPr>
    </w:lvl>
    <w:lvl w:ilvl="3" w:tentative="0">
      <w:start w:val="1"/>
      <w:numFmt w:val="decimal"/>
      <w:lvlText w:val="%4."/>
      <w:lvlJc w:val="left"/>
      <w:pPr>
        <w:ind w:left="1760" w:hanging="440"/>
      </w:pPr>
      <w:rPr>
        <w:rFonts w:hint="default" w:ascii="Times New Roman" w:hAnsi="Times New Roman"/>
      </w:rPr>
    </w:lvl>
    <w:lvl w:ilvl="4" w:tentative="0">
      <w:start w:val="1"/>
      <w:numFmt w:val="lowerLetter"/>
      <w:lvlText w:val="%5)"/>
      <w:lvlJc w:val="left"/>
      <w:pPr>
        <w:ind w:left="2200" w:hanging="440"/>
      </w:pPr>
      <w:rPr>
        <w:rFonts w:hint="default" w:ascii="Times New Roman" w:hAnsi="Times New Roman"/>
      </w:rPr>
    </w:lvl>
    <w:lvl w:ilvl="5" w:tentative="0">
      <w:start w:val="1"/>
      <w:numFmt w:val="decimal"/>
      <w:lvlText w:val="%6."/>
      <w:lvlJc w:val="right"/>
      <w:pPr>
        <w:ind w:left="2640" w:hanging="440"/>
      </w:pPr>
      <w:rPr>
        <w:rFonts w:hint="default" w:ascii="Times New Roman" w:hAnsi="Times New Roman"/>
      </w:rPr>
    </w:lvl>
    <w:lvl w:ilvl="6" w:tentative="0">
      <w:start w:val="1"/>
      <w:numFmt w:val="decimal"/>
      <w:lvlText w:val="%7."/>
      <w:lvlJc w:val="left"/>
      <w:pPr>
        <w:ind w:left="3080" w:hanging="440"/>
      </w:pPr>
      <w:rPr>
        <w:rFonts w:hint="default" w:ascii="Times New Roman" w:hAnsi="Times New Roman"/>
      </w:rPr>
    </w:lvl>
    <w:lvl w:ilvl="7" w:tentative="0">
      <w:start w:val="1"/>
      <w:numFmt w:val="lowerLetter"/>
      <w:lvlText w:val="%8)"/>
      <w:lvlJc w:val="left"/>
      <w:pPr>
        <w:ind w:left="3520" w:hanging="440"/>
      </w:pPr>
      <w:rPr>
        <w:rFonts w:hint="default" w:ascii="Times New Roman" w:hAnsi="Times New Roman"/>
      </w:rPr>
    </w:lvl>
    <w:lvl w:ilvl="8" w:tentative="0">
      <w:start w:val="1"/>
      <w:numFmt w:val="decimal"/>
      <w:lvlText w:val="%9."/>
      <w:lvlJc w:val="right"/>
      <w:pPr>
        <w:ind w:left="3960" w:hanging="440"/>
      </w:pPr>
      <w:rPr>
        <w:rFonts w:hint="default" w:ascii="Times New Roman" w:hAnsi="Times New Roman"/>
      </w:rPr>
    </w:lvl>
  </w:abstractNum>
  <w:abstractNum w:abstractNumId="9">
    <w:nsid w:val="00000008"/>
    <w:multiLevelType w:val="multilevel"/>
    <w:tmpl w:val="00000008"/>
    <w:lvl w:ilvl="0" w:tentative="0">
      <w:start w:val="1"/>
      <w:numFmt w:val="chineseCountingThousand"/>
      <w:suff w:val="nothing"/>
      <w:lvlText w:val="%1、"/>
      <w:lvlJc w:val="left"/>
      <w:pPr>
        <w:ind w:left="420" w:hanging="420"/>
      </w:pPr>
      <w:rPr>
        <w:rFonts w:hint="eastAsia" w:ascii="宋体" w:hAnsi="宋体" w:eastAsia="宋体"/>
      </w:rPr>
    </w:lvl>
    <w:lvl w:ilvl="1" w:tentative="0">
      <w:start w:val="1"/>
      <w:numFmt w:val="decimal"/>
      <w:lvlText w:val="（%2）"/>
      <w:lvlJc w:val="left"/>
      <w:pPr>
        <w:ind w:left="1140" w:hanging="7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0">
    <w:nsid w:val="0000000A"/>
    <w:multiLevelType w:val="multilevel"/>
    <w:tmpl w:val="0000000A"/>
    <w:lvl w:ilvl="0" w:tentative="0">
      <w:start w:val="1"/>
      <w:numFmt w:val="decimal"/>
      <w:suff w:val="nothing"/>
      <w:lvlText w:val="%1"/>
      <w:lvlJc w:val="left"/>
      <w:pPr>
        <w:ind w:left="440" w:hanging="440"/>
      </w:pPr>
      <w:rPr>
        <w:rFonts w:hint="eastAsia" w:ascii="宋体" w:hAnsi="宋体" w:eastAsia="宋体"/>
      </w:rPr>
    </w:lvl>
    <w:lvl w:ilvl="1" w:tentative="0">
      <w:start w:val="1"/>
      <w:numFmt w:val="lowerLetter"/>
      <w:lvlText w:val="%2)"/>
      <w:lvlJc w:val="left"/>
      <w:pPr>
        <w:ind w:left="880" w:hanging="440"/>
      </w:pPr>
      <w:rPr>
        <w:rFonts w:hint="default" w:ascii="Times New Roman" w:hAnsi="Times New Roman"/>
      </w:rPr>
    </w:lvl>
    <w:lvl w:ilvl="2" w:tentative="0">
      <w:start w:val="1"/>
      <w:numFmt w:val="decimal"/>
      <w:lvlText w:val="%3."/>
      <w:lvlJc w:val="right"/>
      <w:pPr>
        <w:ind w:left="1320" w:hanging="440"/>
      </w:pPr>
      <w:rPr>
        <w:rFonts w:hint="default" w:ascii="Times New Roman" w:hAnsi="Times New Roman"/>
      </w:rPr>
    </w:lvl>
    <w:lvl w:ilvl="3" w:tentative="0">
      <w:start w:val="1"/>
      <w:numFmt w:val="decimal"/>
      <w:lvlText w:val="%4."/>
      <w:lvlJc w:val="left"/>
      <w:pPr>
        <w:ind w:left="1760" w:hanging="440"/>
      </w:pPr>
      <w:rPr>
        <w:rFonts w:hint="default" w:ascii="Times New Roman" w:hAnsi="Times New Roman"/>
      </w:rPr>
    </w:lvl>
    <w:lvl w:ilvl="4" w:tentative="0">
      <w:start w:val="1"/>
      <w:numFmt w:val="lowerLetter"/>
      <w:lvlText w:val="%5)"/>
      <w:lvlJc w:val="left"/>
      <w:pPr>
        <w:ind w:left="2200" w:hanging="440"/>
      </w:pPr>
      <w:rPr>
        <w:rFonts w:hint="default" w:ascii="Times New Roman" w:hAnsi="Times New Roman"/>
      </w:rPr>
    </w:lvl>
    <w:lvl w:ilvl="5" w:tentative="0">
      <w:start w:val="1"/>
      <w:numFmt w:val="decimal"/>
      <w:lvlText w:val="%6."/>
      <w:lvlJc w:val="right"/>
      <w:pPr>
        <w:ind w:left="2640" w:hanging="440"/>
      </w:pPr>
      <w:rPr>
        <w:rFonts w:hint="default" w:ascii="Times New Roman" w:hAnsi="Times New Roman"/>
      </w:rPr>
    </w:lvl>
    <w:lvl w:ilvl="6" w:tentative="0">
      <w:start w:val="1"/>
      <w:numFmt w:val="decimal"/>
      <w:lvlText w:val="%7."/>
      <w:lvlJc w:val="left"/>
      <w:pPr>
        <w:ind w:left="3080" w:hanging="440"/>
      </w:pPr>
      <w:rPr>
        <w:rFonts w:hint="default" w:ascii="Times New Roman" w:hAnsi="Times New Roman"/>
      </w:rPr>
    </w:lvl>
    <w:lvl w:ilvl="7" w:tentative="0">
      <w:start w:val="1"/>
      <w:numFmt w:val="lowerLetter"/>
      <w:lvlText w:val="%8)"/>
      <w:lvlJc w:val="left"/>
      <w:pPr>
        <w:ind w:left="3520" w:hanging="440"/>
      </w:pPr>
      <w:rPr>
        <w:rFonts w:hint="default" w:ascii="Times New Roman" w:hAnsi="Times New Roman"/>
      </w:rPr>
    </w:lvl>
    <w:lvl w:ilvl="8" w:tentative="0">
      <w:start w:val="1"/>
      <w:numFmt w:val="decimal"/>
      <w:lvlText w:val="%9."/>
      <w:lvlJc w:val="right"/>
      <w:pPr>
        <w:ind w:left="3960" w:hanging="440"/>
      </w:pPr>
      <w:rPr>
        <w:rFonts w:hint="default" w:ascii="Times New Roman" w:hAnsi="Times New Roman"/>
      </w:rPr>
    </w:lvl>
  </w:abstractNum>
  <w:abstractNum w:abstractNumId="11">
    <w:nsid w:val="0000000B"/>
    <w:multiLevelType w:val="multilevel"/>
    <w:tmpl w:val="0000000B"/>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2">
    <w:nsid w:val="0000000D"/>
    <w:multiLevelType w:val="multilevel"/>
    <w:tmpl w:val="0000000D"/>
    <w:lvl w:ilvl="0" w:tentative="0">
      <w:start w:val="1"/>
      <w:numFmt w:val="decimal"/>
      <w:lvlText w:val="%1."/>
      <w:lvlJc w:val="left"/>
      <w:pPr>
        <w:ind w:left="420" w:hanging="420"/>
      </w:pPr>
      <w:rPr>
        <w:rFonts w:hint="eastAsia" w:ascii="宋体" w:hAnsi="宋体" w:eastAsia="宋体"/>
      </w:rPr>
    </w:lvl>
    <w:lvl w:ilvl="1" w:tentative="0">
      <w:start w:val="1"/>
      <w:numFmt w:val="decimal"/>
      <w:suff w:val="space"/>
      <w:lvlText w:val="%2."/>
      <w:lvlJc w:val="left"/>
      <w:pPr>
        <w:ind w:left="420" w:hanging="420"/>
      </w:pPr>
      <w:rPr>
        <w:rFonts w:hint="eastAsia" w:ascii="宋体" w:hAnsi="宋体" w:eastAsia="宋体"/>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3">
    <w:nsid w:val="0000000E"/>
    <w:multiLevelType w:val="multilevel"/>
    <w:tmpl w:val="0000000E"/>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4">
    <w:nsid w:val="00000011"/>
    <w:multiLevelType w:val="multilevel"/>
    <w:tmpl w:val="00000011"/>
    <w:lvl w:ilvl="0" w:tentative="0">
      <w:start w:val="1"/>
      <w:numFmt w:val="chineseCountingThousand"/>
      <w:suff w:val="space"/>
      <w:lvlText w:val="%1、"/>
      <w:lvlJc w:val="left"/>
      <w:pPr>
        <w:ind w:left="720" w:hanging="720"/>
      </w:pPr>
      <w:rPr>
        <w:rFonts w:hint="default" w:ascii="Times New Roman" w:hAnsi="Times New Roman"/>
      </w:rPr>
    </w:lvl>
    <w:lvl w:ilvl="1" w:tentative="0">
      <w:start w:val="1"/>
      <w:numFmt w:val="lowerLetter"/>
      <w:lvlText w:val="%2)"/>
      <w:lvlJc w:val="left"/>
      <w:pPr>
        <w:ind w:left="840" w:hanging="420"/>
      </w:pPr>
      <w:rPr>
        <w:rFonts w:hint="eastAsia" w:ascii="宋体" w:hAnsi="宋体" w:eastAsia="宋体"/>
      </w:rPr>
    </w:lvl>
    <w:lvl w:ilvl="2" w:tentative="0">
      <w:start w:val="1"/>
      <w:numFmt w:val="decimal"/>
      <w:lvlText w:val="%3."/>
      <w:lvlJc w:val="right"/>
      <w:pPr>
        <w:ind w:left="1260" w:hanging="420"/>
      </w:pPr>
      <w:rPr>
        <w:rFonts w:hint="eastAsia" w:ascii="宋体" w:hAnsi="宋体" w:eastAsia="宋体"/>
      </w:rPr>
    </w:lvl>
    <w:lvl w:ilvl="3" w:tentative="0">
      <w:start w:val="1"/>
      <w:numFmt w:val="decimal"/>
      <w:lvlText w:val="%4."/>
      <w:lvlJc w:val="left"/>
      <w:pPr>
        <w:ind w:left="1680" w:hanging="420"/>
      </w:pPr>
      <w:rPr>
        <w:rFonts w:hint="eastAsia" w:ascii="宋体" w:hAnsi="宋体" w:eastAsia="宋体"/>
      </w:rPr>
    </w:lvl>
    <w:lvl w:ilvl="4" w:tentative="0">
      <w:start w:val="1"/>
      <w:numFmt w:val="lowerLetter"/>
      <w:lvlText w:val="%5)"/>
      <w:lvlJc w:val="left"/>
      <w:pPr>
        <w:ind w:left="2100" w:hanging="420"/>
      </w:pPr>
      <w:rPr>
        <w:rFonts w:hint="eastAsia" w:ascii="宋体" w:hAnsi="宋体" w:eastAsia="宋体"/>
      </w:rPr>
    </w:lvl>
    <w:lvl w:ilvl="5" w:tentative="0">
      <w:start w:val="1"/>
      <w:numFmt w:val="decimal"/>
      <w:lvlText w:val="%6."/>
      <w:lvlJc w:val="right"/>
      <w:pPr>
        <w:ind w:left="2520" w:hanging="420"/>
      </w:pPr>
      <w:rPr>
        <w:rFonts w:hint="eastAsia" w:ascii="宋体" w:hAnsi="宋体" w:eastAsia="宋体"/>
      </w:rPr>
    </w:lvl>
    <w:lvl w:ilvl="6" w:tentative="0">
      <w:start w:val="1"/>
      <w:numFmt w:val="decimal"/>
      <w:lvlText w:val="%7."/>
      <w:lvlJc w:val="left"/>
      <w:pPr>
        <w:ind w:left="2940" w:hanging="420"/>
      </w:pPr>
      <w:rPr>
        <w:rFonts w:hint="eastAsia" w:ascii="宋体" w:hAnsi="宋体" w:eastAsia="宋体"/>
      </w:rPr>
    </w:lvl>
    <w:lvl w:ilvl="7" w:tentative="0">
      <w:start w:val="1"/>
      <w:numFmt w:val="lowerLetter"/>
      <w:lvlText w:val="%8)"/>
      <w:lvlJc w:val="left"/>
      <w:pPr>
        <w:ind w:left="3360" w:hanging="420"/>
      </w:pPr>
      <w:rPr>
        <w:rFonts w:hint="eastAsia" w:ascii="宋体" w:hAnsi="宋体" w:eastAsia="宋体"/>
      </w:rPr>
    </w:lvl>
    <w:lvl w:ilvl="8" w:tentative="0">
      <w:start w:val="1"/>
      <w:numFmt w:val="decimal"/>
      <w:lvlText w:val="%9."/>
      <w:lvlJc w:val="right"/>
      <w:pPr>
        <w:ind w:left="3780" w:hanging="420"/>
      </w:pPr>
      <w:rPr>
        <w:rFonts w:hint="eastAsia" w:ascii="宋体" w:hAnsi="宋体" w:eastAsia="宋体"/>
      </w:rPr>
    </w:lvl>
  </w:abstractNum>
  <w:abstractNum w:abstractNumId="15">
    <w:nsid w:val="00000012"/>
    <w:multiLevelType w:val="multilevel"/>
    <w:tmpl w:val="00000012"/>
    <w:lvl w:ilvl="0" w:tentative="0">
      <w:start w:val="1"/>
      <w:numFmt w:val="decimal"/>
      <w:suff w:val="nothing"/>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eastAsia" w:ascii="宋体" w:hAnsi="宋体" w:eastAsia="宋体"/>
      </w:rPr>
    </w:lvl>
    <w:lvl w:ilvl="2" w:tentative="0">
      <w:start w:val="1"/>
      <w:numFmt w:val="decimal"/>
      <w:lvlText w:val="%3."/>
      <w:lvlJc w:val="right"/>
      <w:pPr>
        <w:ind w:left="1260" w:hanging="420"/>
      </w:pPr>
      <w:rPr>
        <w:rFonts w:hint="eastAsia" w:ascii="宋体" w:hAnsi="宋体" w:eastAsia="宋体"/>
      </w:rPr>
    </w:lvl>
    <w:lvl w:ilvl="3" w:tentative="0">
      <w:start w:val="1"/>
      <w:numFmt w:val="decimal"/>
      <w:lvlText w:val="%4."/>
      <w:lvlJc w:val="left"/>
      <w:pPr>
        <w:ind w:left="1680" w:hanging="420"/>
      </w:pPr>
      <w:rPr>
        <w:rFonts w:hint="eastAsia" w:ascii="宋体" w:hAnsi="宋体" w:eastAsia="宋体"/>
      </w:rPr>
    </w:lvl>
    <w:lvl w:ilvl="4" w:tentative="0">
      <w:start w:val="1"/>
      <w:numFmt w:val="lowerLetter"/>
      <w:lvlText w:val="%5)"/>
      <w:lvlJc w:val="left"/>
      <w:pPr>
        <w:ind w:left="2100" w:hanging="420"/>
      </w:pPr>
      <w:rPr>
        <w:rFonts w:hint="eastAsia" w:ascii="宋体" w:hAnsi="宋体" w:eastAsia="宋体"/>
      </w:rPr>
    </w:lvl>
    <w:lvl w:ilvl="5" w:tentative="0">
      <w:start w:val="1"/>
      <w:numFmt w:val="decimal"/>
      <w:lvlText w:val="%6."/>
      <w:lvlJc w:val="right"/>
      <w:pPr>
        <w:ind w:left="2520" w:hanging="420"/>
      </w:pPr>
      <w:rPr>
        <w:rFonts w:hint="eastAsia" w:ascii="宋体" w:hAnsi="宋体" w:eastAsia="宋体"/>
      </w:rPr>
    </w:lvl>
    <w:lvl w:ilvl="6" w:tentative="0">
      <w:start w:val="1"/>
      <w:numFmt w:val="decimal"/>
      <w:lvlText w:val="%7."/>
      <w:lvlJc w:val="left"/>
      <w:pPr>
        <w:ind w:left="2940" w:hanging="420"/>
      </w:pPr>
      <w:rPr>
        <w:rFonts w:hint="eastAsia" w:ascii="宋体" w:hAnsi="宋体" w:eastAsia="宋体"/>
      </w:rPr>
    </w:lvl>
    <w:lvl w:ilvl="7" w:tentative="0">
      <w:start w:val="1"/>
      <w:numFmt w:val="lowerLetter"/>
      <w:lvlText w:val="%8)"/>
      <w:lvlJc w:val="left"/>
      <w:pPr>
        <w:ind w:left="3360" w:hanging="420"/>
      </w:pPr>
      <w:rPr>
        <w:rFonts w:hint="eastAsia" w:ascii="宋体" w:hAnsi="宋体" w:eastAsia="宋体"/>
      </w:rPr>
    </w:lvl>
    <w:lvl w:ilvl="8" w:tentative="0">
      <w:start w:val="1"/>
      <w:numFmt w:val="decimal"/>
      <w:lvlText w:val="%9."/>
      <w:lvlJc w:val="right"/>
      <w:pPr>
        <w:ind w:left="3780" w:hanging="420"/>
      </w:pPr>
      <w:rPr>
        <w:rFonts w:hint="eastAsia" w:ascii="宋体" w:hAnsi="宋体" w:eastAsia="宋体"/>
      </w:rPr>
    </w:lvl>
  </w:abstractNum>
  <w:abstractNum w:abstractNumId="16">
    <w:nsid w:val="00000014"/>
    <w:multiLevelType w:val="multilevel"/>
    <w:tmpl w:val="00000014"/>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7">
    <w:nsid w:val="00000015"/>
    <w:multiLevelType w:val="multilevel"/>
    <w:tmpl w:val="00000015"/>
    <w:lvl w:ilvl="0" w:tentative="0">
      <w:start w:val="1"/>
      <w:numFmt w:val="decimal"/>
      <w:suff w:val="nothing"/>
      <w:lvlText w:val="%1."/>
      <w:lvlJc w:val="left"/>
      <w:pPr>
        <w:ind w:left="440" w:hanging="440"/>
      </w:pPr>
      <w:rPr>
        <w:rFonts w:hint="eastAsia" w:ascii="宋体" w:hAnsi="宋体" w:eastAsia="宋体"/>
      </w:rPr>
    </w:lvl>
    <w:lvl w:ilvl="1" w:tentative="0">
      <w:start w:val="1"/>
      <w:numFmt w:val="lowerLetter"/>
      <w:lvlText w:val="%2)"/>
      <w:lvlJc w:val="left"/>
      <w:pPr>
        <w:ind w:left="880" w:hanging="440"/>
      </w:pPr>
      <w:rPr>
        <w:rFonts w:hint="default" w:ascii="Times New Roman" w:hAnsi="Times New Roman"/>
      </w:rPr>
    </w:lvl>
    <w:lvl w:ilvl="2" w:tentative="0">
      <w:start w:val="1"/>
      <w:numFmt w:val="decimal"/>
      <w:lvlText w:val="%3."/>
      <w:lvlJc w:val="right"/>
      <w:pPr>
        <w:ind w:left="1320" w:hanging="440"/>
      </w:pPr>
      <w:rPr>
        <w:rFonts w:hint="default" w:ascii="Times New Roman" w:hAnsi="Times New Roman"/>
      </w:rPr>
    </w:lvl>
    <w:lvl w:ilvl="3" w:tentative="0">
      <w:start w:val="1"/>
      <w:numFmt w:val="decimal"/>
      <w:lvlText w:val="%4."/>
      <w:lvlJc w:val="left"/>
      <w:pPr>
        <w:ind w:left="1760" w:hanging="440"/>
      </w:pPr>
      <w:rPr>
        <w:rFonts w:hint="default" w:ascii="Times New Roman" w:hAnsi="Times New Roman"/>
      </w:rPr>
    </w:lvl>
    <w:lvl w:ilvl="4" w:tentative="0">
      <w:start w:val="1"/>
      <w:numFmt w:val="lowerLetter"/>
      <w:lvlText w:val="%5)"/>
      <w:lvlJc w:val="left"/>
      <w:pPr>
        <w:ind w:left="2200" w:hanging="440"/>
      </w:pPr>
      <w:rPr>
        <w:rFonts w:hint="default" w:ascii="Times New Roman" w:hAnsi="Times New Roman"/>
      </w:rPr>
    </w:lvl>
    <w:lvl w:ilvl="5" w:tentative="0">
      <w:start w:val="1"/>
      <w:numFmt w:val="decimal"/>
      <w:lvlText w:val="%6."/>
      <w:lvlJc w:val="right"/>
      <w:pPr>
        <w:ind w:left="2640" w:hanging="440"/>
      </w:pPr>
      <w:rPr>
        <w:rFonts w:hint="default" w:ascii="Times New Roman" w:hAnsi="Times New Roman"/>
      </w:rPr>
    </w:lvl>
    <w:lvl w:ilvl="6" w:tentative="0">
      <w:start w:val="1"/>
      <w:numFmt w:val="decimal"/>
      <w:lvlText w:val="%7."/>
      <w:lvlJc w:val="left"/>
      <w:pPr>
        <w:ind w:left="3080" w:hanging="440"/>
      </w:pPr>
      <w:rPr>
        <w:rFonts w:hint="default" w:ascii="Times New Roman" w:hAnsi="Times New Roman"/>
      </w:rPr>
    </w:lvl>
    <w:lvl w:ilvl="7" w:tentative="0">
      <w:start w:val="1"/>
      <w:numFmt w:val="lowerLetter"/>
      <w:lvlText w:val="%8)"/>
      <w:lvlJc w:val="left"/>
      <w:pPr>
        <w:ind w:left="3520" w:hanging="440"/>
      </w:pPr>
      <w:rPr>
        <w:rFonts w:hint="default" w:ascii="Times New Roman" w:hAnsi="Times New Roman"/>
      </w:rPr>
    </w:lvl>
    <w:lvl w:ilvl="8" w:tentative="0">
      <w:start w:val="1"/>
      <w:numFmt w:val="decimal"/>
      <w:lvlText w:val="%9."/>
      <w:lvlJc w:val="right"/>
      <w:pPr>
        <w:ind w:left="3960" w:hanging="440"/>
      </w:pPr>
      <w:rPr>
        <w:rFonts w:hint="default" w:ascii="Times New Roman" w:hAnsi="Times New Roman"/>
      </w:rPr>
    </w:lvl>
  </w:abstractNum>
  <w:abstractNum w:abstractNumId="18">
    <w:nsid w:val="00000016"/>
    <w:multiLevelType w:val="multilevel"/>
    <w:tmpl w:val="00000016"/>
    <w:lvl w:ilvl="0" w:tentative="0">
      <w:start w:val="1"/>
      <w:numFmt w:val="chineseCountingThousand"/>
      <w:suff w:val="nothing"/>
      <w:lvlText w:val="%1、"/>
      <w:lvlJc w:val="left"/>
      <w:pPr>
        <w:ind w:left="3131" w:hanging="720"/>
      </w:pPr>
      <w:rPr>
        <w:rFonts w:hint="default" w:ascii="Times New Roman" w:hAnsi="Times New Roman"/>
        <w:b w:val="0"/>
      </w:rPr>
    </w:lvl>
    <w:lvl w:ilvl="1" w:tentative="0">
      <w:start w:val="1"/>
      <w:numFmt w:val="lowerLetter"/>
      <w:lvlText w:val="%2)"/>
      <w:lvlJc w:val="left"/>
      <w:pPr>
        <w:ind w:left="840" w:hanging="420"/>
      </w:pPr>
      <w:rPr>
        <w:rFonts w:hint="eastAsia" w:ascii="宋体" w:hAnsi="宋体" w:eastAsia="宋体"/>
      </w:rPr>
    </w:lvl>
    <w:lvl w:ilvl="2" w:tentative="0">
      <w:start w:val="1"/>
      <w:numFmt w:val="decimal"/>
      <w:lvlText w:val="%3."/>
      <w:lvlJc w:val="right"/>
      <w:pPr>
        <w:ind w:left="1260" w:hanging="420"/>
      </w:pPr>
      <w:rPr>
        <w:rFonts w:hint="eastAsia" w:ascii="宋体" w:hAnsi="宋体" w:eastAsia="宋体"/>
      </w:rPr>
    </w:lvl>
    <w:lvl w:ilvl="3" w:tentative="0">
      <w:start w:val="1"/>
      <w:numFmt w:val="decimal"/>
      <w:lvlText w:val="%4."/>
      <w:lvlJc w:val="left"/>
      <w:pPr>
        <w:ind w:left="1680" w:hanging="420"/>
      </w:pPr>
      <w:rPr>
        <w:rFonts w:hint="eastAsia" w:ascii="宋体" w:hAnsi="宋体" w:eastAsia="宋体"/>
      </w:rPr>
    </w:lvl>
    <w:lvl w:ilvl="4" w:tentative="0">
      <w:start w:val="1"/>
      <w:numFmt w:val="lowerLetter"/>
      <w:lvlText w:val="%5)"/>
      <w:lvlJc w:val="left"/>
      <w:pPr>
        <w:ind w:left="2100" w:hanging="420"/>
      </w:pPr>
      <w:rPr>
        <w:rFonts w:hint="eastAsia" w:ascii="宋体" w:hAnsi="宋体" w:eastAsia="宋体"/>
      </w:rPr>
    </w:lvl>
    <w:lvl w:ilvl="5" w:tentative="0">
      <w:start w:val="1"/>
      <w:numFmt w:val="decimal"/>
      <w:lvlText w:val="%6."/>
      <w:lvlJc w:val="right"/>
      <w:pPr>
        <w:ind w:left="2520" w:hanging="420"/>
      </w:pPr>
      <w:rPr>
        <w:rFonts w:hint="eastAsia" w:ascii="宋体" w:hAnsi="宋体" w:eastAsia="宋体"/>
      </w:rPr>
    </w:lvl>
    <w:lvl w:ilvl="6" w:tentative="0">
      <w:start w:val="1"/>
      <w:numFmt w:val="decimal"/>
      <w:lvlText w:val="%7."/>
      <w:lvlJc w:val="left"/>
      <w:pPr>
        <w:ind w:left="2940" w:hanging="420"/>
      </w:pPr>
      <w:rPr>
        <w:rFonts w:hint="eastAsia" w:ascii="宋体" w:hAnsi="宋体" w:eastAsia="宋体"/>
      </w:rPr>
    </w:lvl>
    <w:lvl w:ilvl="7" w:tentative="0">
      <w:start w:val="1"/>
      <w:numFmt w:val="lowerLetter"/>
      <w:lvlText w:val="%8)"/>
      <w:lvlJc w:val="left"/>
      <w:pPr>
        <w:ind w:left="3360" w:hanging="420"/>
      </w:pPr>
      <w:rPr>
        <w:rFonts w:hint="eastAsia" w:ascii="宋体" w:hAnsi="宋体" w:eastAsia="宋体"/>
      </w:rPr>
    </w:lvl>
    <w:lvl w:ilvl="8" w:tentative="0">
      <w:start w:val="1"/>
      <w:numFmt w:val="decimal"/>
      <w:lvlText w:val="%9."/>
      <w:lvlJc w:val="right"/>
      <w:pPr>
        <w:ind w:left="3780" w:hanging="420"/>
      </w:pPr>
      <w:rPr>
        <w:rFonts w:hint="eastAsia" w:ascii="宋体" w:hAnsi="宋体" w:eastAsia="宋体"/>
      </w:rPr>
    </w:lvl>
  </w:abstractNum>
  <w:abstractNum w:abstractNumId="19">
    <w:nsid w:val="00000017"/>
    <w:multiLevelType w:val="multilevel"/>
    <w:tmpl w:val="00000017"/>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0">
    <w:nsid w:val="00000018"/>
    <w:multiLevelType w:val="multilevel"/>
    <w:tmpl w:val="00000018"/>
    <w:lvl w:ilvl="0" w:tentative="0">
      <w:start w:val="1"/>
      <w:numFmt w:val="decimal"/>
      <w:suff w:val="nothing"/>
      <w:lvlText w:val="（%1）"/>
      <w:lvlJc w:val="left"/>
      <w:pPr>
        <w:ind w:left="840" w:hanging="420"/>
      </w:pPr>
      <w:rPr>
        <w:rFonts w:hint="default" w:ascii="宋体" w:hAnsi="宋体" w:eastAsia="宋体" w:cs="宋体"/>
      </w:rPr>
    </w:lvl>
    <w:lvl w:ilvl="1" w:tentative="0">
      <w:start w:val="1"/>
      <w:numFmt w:val="lowerLetter"/>
      <w:lvlText w:val="%2)"/>
      <w:lvlJc w:val="left"/>
      <w:pPr>
        <w:ind w:left="1260" w:hanging="420"/>
      </w:pPr>
      <w:rPr>
        <w:rFonts w:hint="eastAsia" w:ascii="宋体" w:hAnsi="宋体" w:eastAsia="宋体"/>
      </w:rPr>
    </w:lvl>
    <w:lvl w:ilvl="2" w:tentative="0">
      <w:start w:val="1"/>
      <w:numFmt w:val="decimal"/>
      <w:lvlText w:val="%3."/>
      <w:lvlJc w:val="right"/>
      <w:pPr>
        <w:ind w:left="1680" w:hanging="420"/>
      </w:pPr>
      <w:rPr>
        <w:rFonts w:hint="eastAsia" w:ascii="宋体" w:hAnsi="宋体" w:eastAsia="宋体"/>
      </w:rPr>
    </w:lvl>
    <w:lvl w:ilvl="3" w:tentative="0">
      <w:start w:val="1"/>
      <w:numFmt w:val="decimal"/>
      <w:lvlText w:val="%4."/>
      <w:lvlJc w:val="left"/>
      <w:pPr>
        <w:ind w:left="2100" w:hanging="420"/>
      </w:pPr>
      <w:rPr>
        <w:rFonts w:hint="eastAsia" w:ascii="宋体" w:hAnsi="宋体" w:eastAsia="宋体"/>
      </w:rPr>
    </w:lvl>
    <w:lvl w:ilvl="4" w:tentative="0">
      <w:start w:val="1"/>
      <w:numFmt w:val="lowerLetter"/>
      <w:lvlText w:val="%5)"/>
      <w:lvlJc w:val="left"/>
      <w:pPr>
        <w:ind w:left="2520" w:hanging="420"/>
      </w:pPr>
      <w:rPr>
        <w:rFonts w:hint="eastAsia" w:ascii="宋体" w:hAnsi="宋体" w:eastAsia="宋体"/>
      </w:rPr>
    </w:lvl>
    <w:lvl w:ilvl="5" w:tentative="0">
      <w:start w:val="1"/>
      <w:numFmt w:val="decimal"/>
      <w:lvlText w:val="%6."/>
      <w:lvlJc w:val="right"/>
      <w:pPr>
        <w:ind w:left="2940" w:hanging="420"/>
      </w:pPr>
      <w:rPr>
        <w:rFonts w:hint="eastAsia" w:ascii="宋体" w:hAnsi="宋体" w:eastAsia="宋体"/>
      </w:rPr>
    </w:lvl>
    <w:lvl w:ilvl="6" w:tentative="0">
      <w:start w:val="1"/>
      <w:numFmt w:val="decimal"/>
      <w:lvlText w:val="%7."/>
      <w:lvlJc w:val="left"/>
      <w:pPr>
        <w:ind w:left="3360" w:hanging="420"/>
      </w:pPr>
      <w:rPr>
        <w:rFonts w:hint="eastAsia" w:ascii="宋体" w:hAnsi="宋体" w:eastAsia="宋体"/>
      </w:rPr>
    </w:lvl>
    <w:lvl w:ilvl="7" w:tentative="0">
      <w:start w:val="1"/>
      <w:numFmt w:val="lowerLetter"/>
      <w:lvlText w:val="%8)"/>
      <w:lvlJc w:val="left"/>
      <w:pPr>
        <w:ind w:left="3780" w:hanging="420"/>
      </w:pPr>
      <w:rPr>
        <w:rFonts w:hint="eastAsia" w:ascii="宋体" w:hAnsi="宋体" w:eastAsia="宋体"/>
      </w:rPr>
    </w:lvl>
    <w:lvl w:ilvl="8" w:tentative="0">
      <w:start w:val="1"/>
      <w:numFmt w:val="decimal"/>
      <w:lvlText w:val="%9."/>
      <w:lvlJc w:val="right"/>
      <w:pPr>
        <w:ind w:left="4200" w:hanging="420"/>
      </w:pPr>
      <w:rPr>
        <w:rFonts w:hint="eastAsia" w:ascii="宋体" w:hAnsi="宋体" w:eastAsia="宋体"/>
      </w:rPr>
    </w:lvl>
  </w:abstractNum>
  <w:abstractNum w:abstractNumId="21">
    <w:nsid w:val="0000001B"/>
    <w:multiLevelType w:val="multilevel"/>
    <w:tmpl w:val="0000001B"/>
    <w:lvl w:ilvl="0" w:tentative="0">
      <w:start w:val="1"/>
      <w:numFmt w:val="decimal"/>
      <w:lvlText w:val="%1."/>
      <w:lvlJc w:val="left"/>
      <w:pPr>
        <w:ind w:left="840" w:hanging="420"/>
      </w:pPr>
      <w:rPr>
        <w:rFonts w:hint="eastAsia" w:ascii="宋体" w:hAnsi="宋体" w:eastAsia="宋体"/>
      </w:rPr>
    </w:lvl>
    <w:lvl w:ilvl="1" w:tentative="0">
      <w:start w:val="1"/>
      <w:numFmt w:val="decimal"/>
      <w:suff w:val="space"/>
      <w:lvlText w:val="%2."/>
      <w:lvlJc w:val="left"/>
      <w:pPr>
        <w:ind w:left="420" w:hanging="420"/>
      </w:pPr>
      <w:rPr>
        <w:rFonts w:hint="eastAsia" w:ascii="宋体" w:hAnsi="宋体" w:eastAsia="宋体"/>
      </w:rPr>
    </w:lvl>
    <w:lvl w:ilvl="2" w:tentative="0">
      <w:start w:val="1"/>
      <w:numFmt w:val="decimal"/>
      <w:lvlText w:val="%3."/>
      <w:lvlJc w:val="right"/>
      <w:pPr>
        <w:ind w:left="1680" w:hanging="420"/>
      </w:pPr>
      <w:rPr>
        <w:rFonts w:hint="default" w:ascii="Times New Roman" w:hAnsi="Times New Roman"/>
      </w:rPr>
    </w:lvl>
    <w:lvl w:ilvl="3" w:tentative="0">
      <w:start w:val="1"/>
      <w:numFmt w:val="decimal"/>
      <w:lvlText w:val="%4."/>
      <w:lvlJc w:val="left"/>
      <w:pPr>
        <w:ind w:left="2100" w:hanging="420"/>
      </w:pPr>
      <w:rPr>
        <w:rFonts w:hint="default" w:ascii="Times New Roman" w:hAnsi="Times New Roman"/>
      </w:rPr>
    </w:lvl>
    <w:lvl w:ilvl="4" w:tentative="0">
      <w:start w:val="1"/>
      <w:numFmt w:val="lowerLetter"/>
      <w:lvlText w:val="%5)"/>
      <w:lvlJc w:val="left"/>
      <w:pPr>
        <w:ind w:left="2520" w:hanging="420"/>
      </w:pPr>
      <w:rPr>
        <w:rFonts w:hint="default" w:ascii="Times New Roman" w:hAnsi="Times New Roman"/>
      </w:rPr>
    </w:lvl>
    <w:lvl w:ilvl="5" w:tentative="0">
      <w:start w:val="1"/>
      <w:numFmt w:val="decimal"/>
      <w:lvlText w:val="%6."/>
      <w:lvlJc w:val="right"/>
      <w:pPr>
        <w:ind w:left="2940" w:hanging="420"/>
      </w:pPr>
      <w:rPr>
        <w:rFonts w:hint="default" w:ascii="Times New Roman" w:hAnsi="Times New Roman"/>
      </w:rPr>
    </w:lvl>
    <w:lvl w:ilvl="6" w:tentative="0">
      <w:start w:val="1"/>
      <w:numFmt w:val="decimal"/>
      <w:lvlText w:val="%7."/>
      <w:lvlJc w:val="left"/>
      <w:pPr>
        <w:ind w:left="3360" w:hanging="420"/>
      </w:pPr>
      <w:rPr>
        <w:rFonts w:hint="default" w:ascii="Times New Roman" w:hAnsi="Times New Roman"/>
      </w:rPr>
    </w:lvl>
    <w:lvl w:ilvl="7" w:tentative="0">
      <w:start w:val="1"/>
      <w:numFmt w:val="lowerLetter"/>
      <w:lvlText w:val="%8)"/>
      <w:lvlJc w:val="left"/>
      <w:pPr>
        <w:ind w:left="3780" w:hanging="420"/>
      </w:pPr>
      <w:rPr>
        <w:rFonts w:hint="default" w:ascii="Times New Roman" w:hAnsi="Times New Roman"/>
      </w:rPr>
    </w:lvl>
    <w:lvl w:ilvl="8" w:tentative="0">
      <w:start w:val="1"/>
      <w:numFmt w:val="decimal"/>
      <w:lvlText w:val="%9."/>
      <w:lvlJc w:val="right"/>
      <w:pPr>
        <w:ind w:left="4200" w:hanging="420"/>
      </w:pPr>
      <w:rPr>
        <w:rFonts w:hint="default" w:ascii="Times New Roman" w:hAnsi="Times New Roman"/>
      </w:rPr>
    </w:lvl>
  </w:abstractNum>
  <w:abstractNum w:abstractNumId="22">
    <w:nsid w:val="0000001D"/>
    <w:multiLevelType w:val="multilevel"/>
    <w:tmpl w:val="0000001D"/>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3">
    <w:nsid w:val="0000001E"/>
    <w:multiLevelType w:val="multilevel"/>
    <w:tmpl w:val="0000001E"/>
    <w:lvl w:ilvl="0" w:tentative="0">
      <w:start w:val="1"/>
      <w:numFmt w:val="chineseCounting"/>
      <w:suff w:val="nothing"/>
      <w:lvlText w:val="（%1）"/>
      <w:lvlJc w:val="left"/>
      <w:pPr>
        <w:ind w:left="0" w:firstLine="0"/>
      </w:pPr>
    </w:lvl>
    <w:lvl w:ilvl="1" w:tentative="0">
      <w:start w:val="1"/>
      <w:numFmt w:val="chineseCounting"/>
      <w:lvlRestart w:val="0"/>
      <w:suff w:val="nothing"/>
      <w:lvlText w:val="（%1）"/>
      <w:lvlJc w:val="left"/>
      <w:pPr>
        <w:ind w:left="0" w:firstLine="0"/>
      </w:pPr>
    </w:lvl>
    <w:lvl w:ilvl="2" w:tentative="0">
      <w:start w:val="1"/>
      <w:numFmt w:val="chineseCounting"/>
      <w:lvlRestart w:val="0"/>
      <w:suff w:val="nothing"/>
      <w:lvlText w:val="（%1）"/>
      <w:lvlJc w:val="left"/>
      <w:pPr>
        <w:ind w:left="0" w:firstLine="0"/>
      </w:pPr>
    </w:lvl>
    <w:lvl w:ilvl="3" w:tentative="0">
      <w:start w:val="1"/>
      <w:numFmt w:val="chineseCounting"/>
      <w:lvlRestart w:val="0"/>
      <w:suff w:val="nothing"/>
      <w:lvlText w:val="（%1）"/>
      <w:lvlJc w:val="left"/>
      <w:pPr>
        <w:ind w:left="0" w:firstLine="0"/>
      </w:pPr>
    </w:lvl>
    <w:lvl w:ilvl="4" w:tentative="0">
      <w:start w:val="1"/>
      <w:numFmt w:val="chineseCounting"/>
      <w:lvlRestart w:val="0"/>
      <w:suff w:val="nothing"/>
      <w:lvlText w:val="（%1）"/>
      <w:lvlJc w:val="left"/>
      <w:pPr>
        <w:ind w:left="0" w:firstLine="0"/>
      </w:pPr>
    </w:lvl>
    <w:lvl w:ilvl="5" w:tentative="0">
      <w:start w:val="1"/>
      <w:numFmt w:val="chineseCounting"/>
      <w:lvlRestart w:val="0"/>
      <w:suff w:val="nothing"/>
      <w:lvlText w:val="（%1）"/>
      <w:lvlJc w:val="left"/>
      <w:pPr>
        <w:ind w:left="0" w:firstLine="0"/>
      </w:pPr>
    </w:lvl>
    <w:lvl w:ilvl="6" w:tentative="0">
      <w:start w:val="1"/>
      <w:numFmt w:val="chineseCounting"/>
      <w:lvlRestart w:val="0"/>
      <w:suff w:val="nothing"/>
      <w:lvlText w:val="（%1）"/>
      <w:lvlJc w:val="left"/>
      <w:pPr>
        <w:ind w:left="0" w:firstLine="0"/>
      </w:pPr>
    </w:lvl>
    <w:lvl w:ilvl="7" w:tentative="0">
      <w:start w:val="1"/>
      <w:numFmt w:val="chineseCounting"/>
      <w:lvlRestart w:val="0"/>
      <w:suff w:val="nothing"/>
      <w:lvlText w:val="（%1）"/>
      <w:lvlJc w:val="left"/>
      <w:pPr>
        <w:ind w:left="0" w:firstLine="0"/>
      </w:pPr>
    </w:lvl>
    <w:lvl w:ilvl="8" w:tentative="0">
      <w:start w:val="1"/>
      <w:numFmt w:val="chineseCounting"/>
      <w:lvlRestart w:val="0"/>
      <w:suff w:val="nothing"/>
      <w:lvlText w:val="（%1）"/>
      <w:lvlJc w:val="left"/>
      <w:pPr>
        <w:ind w:left="0" w:firstLine="0"/>
      </w:pPr>
    </w:lvl>
  </w:abstractNum>
  <w:abstractNum w:abstractNumId="24">
    <w:nsid w:val="0000001F"/>
    <w:multiLevelType w:val="multilevel"/>
    <w:tmpl w:val="0000001F"/>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5">
    <w:nsid w:val="00000020"/>
    <w:multiLevelType w:val="multilevel"/>
    <w:tmpl w:val="00000020"/>
    <w:lvl w:ilvl="0" w:tentative="0">
      <w:start w:val="1"/>
      <w:numFmt w:val="chineseCountingThousand"/>
      <w:lvlText w:val="%1、"/>
      <w:lvlJc w:val="left"/>
      <w:pPr>
        <w:ind w:left="420" w:hanging="420"/>
      </w:pPr>
      <w:rPr>
        <w:rFonts w:hint="default" w:ascii="Times New Roman" w:hAnsi="Times New Roman"/>
      </w:rPr>
    </w:lvl>
    <w:lvl w:ilvl="1" w:tentative="0">
      <w:start w:val="1"/>
      <w:numFmt w:val="lowerLetter"/>
      <w:lvlText w:val="%2)"/>
      <w:lvlJc w:val="left"/>
      <w:pPr>
        <w:ind w:left="840" w:hanging="420"/>
      </w:pPr>
      <w:rPr>
        <w:rFonts w:hint="default" w:ascii="Times New Roman" w:hAnsi="Times New Roman"/>
      </w:rPr>
    </w:lvl>
    <w:lvl w:ilvl="2" w:tentative="0">
      <w:start w:val="1"/>
      <w:numFmt w:val="chineseCountingThousand"/>
      <w:lvlText w:val="%3、"/>
      <w:lvlJc w:val="lef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6">
    <w:nsid w:val="00000021"/>
    <w:multiLevelType w:val="multilevel"/>
    <w:tmpl w:val="00000021"/>
    <w:lvl w:ilvl="0" w:tentative="0">
      <w:start w:val="1"/>
      <w:numFmt w:val="chineseCountingThousand"/>
      <w:suff w:val="nothing"/>
      <w:lvlText w:val="%1、"/>
      <w:lvlJc w:val="left"/>
      <w:pPr>
        <w:ind w:left="420" w:hanging="420"/>
      </w:pPr>
      <w:rPr>
        <w:rFonts w:hint="eastAsia" w:ascii="宋体" w:hAnsi="宋体" w:eastAsia="宋体"/>
      </w:rPr>
    </w:lvl>
    <w:lvl w:ilvl="1" w:tentative="0">
      <w:start w:val="1"/>
      <w:numFmt w:val="decimal"/>
      <w:lvlText w:val="（%2）"/>
      <w:lvlJc w:val="left"/>
      <w:pPr>
        <w:ind w:left="1140" w:hanging="720"/>
      </w:pPr>
      <w:rPr>
        <w:rFonts w:hint="default" w:ascii="Times New Roman" w:hAnsi="Times New Roman"/>
      </w:rPr>
    </w:lvl>
    <w:lvl w:ilvl="2" w:tentative="0">
      <w:start w:val="1"/>
      <w:numFmt w:val="japaneseCounting"/>
      <w:lvlText w:val="%3、"/>
      <w:lvlJc w:val="left"/>
      <w:pPr>
        <w:ind w:left="1290" w:hanging="45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7">
    <w:nsid w:val="00000022"/>
    <w:multiLevelType w:val="multilevel"/>
    <w:tmpl w:val="00000022"/>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8">
    <w:nsid w:val="00000023"/>
    <w:multiLevelType w:val="multilevel"/>
    <w:tmpl w:val="00000023"/>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num w:numId="1">
    <w:abstractNumId w:val="0"/>
  </w:num>
  <w:num w:numId="2">
    <w:abstractNumId w:val="18"/>
  </w:num>
  <w:num w:numId="3">
    <w:abstractNumId w:val="14"/>
  </w:num>
  <w:num w:numId="4">
    <w:abstractNumId w:val="20"/>
  </w:num>
  <w:num w:numId="5">
    <w:abstractNumId w:val="23"/>
  </w:num>
  <w:num w:numId="6">
    <w:abstractNumId w:val="9"/>
  </w:num>
  <w:num w:numId="7">
    <w:abstractNumId w:val="22"/>
  </w:num>
  <w:num w:numId="8">
    <w:abstractNumId w:val="12"/>
  </w:num>
  <w:num w:numId="9">
    <w:abstractNumId w:val="4"/>
  </w:num>
  <w:num w:numId="10">
    <w:abstractNumId w:val="28"/>
  </w:num>
  <w:num w:numId="11">
    <w:abstractNumId w:val="2"/>
  </w:num>
  <w:num w:numId="12">
    <w:abstractNumId w:val="27"/>
  </w:num>
  <w:num w:numId="13">
    <w:abstractNumId w:val="26"/>
  </w:num>
  <w:num w:numId="14">
    <w:abstractNumId w:val="19"/>
  </w:num>
  <w:num w:numId="15">
    <w:abstractNumId w:val="21"/>
  </w:num>
  <w:num w:numId="16">
    <w:abstractNumId w:val="24"/>
  </w:num>
  <w:num w:numId="17">
    <w:abstractNumId w:val="16"/>
  </w:num>
  <w:num w:numId="18">
    <w:abstractNumId w:val="13"/>
  </w:num>
  <w:num w:numId="19">
    <w:abstractNumId w:val="11"/>
  </w:num>
  <w:num w:numId="20">
    <w:abstractNumId w:val="6"/>
  </w:num>
  <w:num w:numId="21">
    <w:abstractNumId w:val="3"/>
  </w:num>
  <w:num w:numId="22">
    <w:abstractNumId w:val="5"/>
  </w:num>
  <w:num w:numId="23">
    <w:abstractNumId w:val="1"/>
  </w:num>
  <w:num w:numId="24">
    <w:abstractNumId w:val="15"/>
  </w:num>
  <w:num w:numId="25">
    <w:abstractNumId w:val="17"/>
  </w:num>
  <w:num w:numId="26">
    <w:abstractNumId w:val="10"/>
  </w:num>
  <w:num w:numId="27">
    <w:abstractNumId w:val="8"/>
  </w:num>
  <w:num w:numId="28">
    <w:abstractNumId w:val="7"/>
  </w:num>
  <w:num w:numId="2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displayBackgroundShape w:val="1"/>
  <w:documentProtection w:enforcement="0"/>
  <w:defaultTabStop w:val="420"/>
  <w:drawingGridHorizontalSpacing w:val="105"/>
  <w:drawingGridVerticalSpacing w:val="156"/>
  <w:noPunctuationKerning w:val="1"/>
  <w:characterSpacingControl w:val="compressPunctuation"/>
  <w:compat>
    <w:spaceForUL/>
    <w:balanceSingleByteDoubleByteWidth/>
    <w:ulTrailSpace/>
    <w:doNotExpandShiftReturn/>
    <w:adjustLineHeightInTable/>
    <w:doNotWrapTextWithPunct/>
    <w:doNotUseEastAsianBreakRules/>
    <w:useFELayout/>
    <w:compatSetting w:name="compatibilityMode" w:uri="http://schemas.microsoft.com/office/word" w:val="14"/>
  </w:compat>
  <w:rsids>
    <w:rsidRoot w:val="004402A9"/>
    <w:rsid w:val="00080AEE"/>
    <w:rsid w:val="002F0351"/>
    <w:rsid w:val="00387802"/>
    <w:rsid w:val="004402A9"/>
    <w:rsid w:val="00906C11"/>
    <w:rsid w:val="00D65031"/>
    <w:rsid w:val="00E16D78"/>
    <w:rsid w:val="00F11879"/>
    <w:rsid w:val="00F944A8"/>
    <w:rsid w:val="04207E21"/>
    <w:rsid w:val="04EB3148"/>
    <w:rsid w:val="06EA7FE5"/>
    <w:rsid w:val="097773A7"/>
    <w:rsid w:val="09842C00"/>
    <w:rsid w:val="114E04CE"/>
    <w:rsid w:val="196A6671"/>
    <w:rsid w:val="1A345F7C"/>
    <w:rsid w:val="23C0763F"/>
    <w:rsid w:val="251357B1"/>
    <w:rsid w:val="263662E7"/>
    <w:rsid w:val="290D624C"/>
    <w:rsid w:val="2BAA609E"/>
    <w:rsid w:val="338E7560"/>
    <w:rsid w:val="401B1754"/>
    <w:rsid w:val="43000080"/>
    <w:rsid w:val="44BA6EFA"/>
    <w:rsid w:val="4758242F"/>
    <w:rsid w:val="49177011"/>
    <w:rsid w:val="55CD168B"/>
    <w:rsid w:val="57390153"/>
    <w:rsid w:val="5F8D358E"/>
    <w:rsid w:val="5F902431"/>
    <w:rsid w:val="62C723B6"/>
    <w:rsid w:val="70C525FF"/>
    <w:rsid w:val="71494FDF"/>
    <w:rsid w:val="75783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rFonts w:eastAsia="文鼎CS中黑"/>
      <w:b/>
      <w:bCs/>
      <w:kern w:val="44"/>
      <w:sz w:val="52"/>
      <w:szCs w:val="52"/>
    </w:rPr>
  </w:style>
  <w:style w:type="paragraph" w:styleId="3">
    <w:name w:val="heading 2"/>
    <w:basedOn w:val="1"/>
    <w:next w:val="1"/>
    <w:qFormat/>
    <w:uiPriority w:val="0"/>
    <w:pPr>
      <w:keepNext/>
      <w:keepLines/>
      <w:spacing w:before="260" w:after="260" w:line="415" w:lineRule="auto"/>
      <w:outlineLvl w:val="1"/>
    </w:pPr>
    <w:rPr>
      <w:rFonts w:ascii="Wingdings" w:hAnsi="Wingdings" w:eastAsia="文鼎CS中黑"/>
      <w:b/>
      <w:bCs/>
      <w:sz w:val="32"/>
      <w:szCs w:val="32"/>
    </w:rPr>
  </w:style>
  <w:style w:type="paragraph" w:styleId="4">
    <w:name w:val="heading 3"/>
    <w:basedOn w:val="1"/>
    <w:next w:val="1"/>
    <w:qFormat/>
    <w:uiPriority w:val="0"/>
    <w:pPr>
      <w:keepNext/>
      <w:keepLines/>
      <w:spacing w:before="260" w:after="260" w:line="415" w:lineRule="auto"/>
      <w:outlineLvl w:val="2"/>
    </w:pPr>
    <w:rPr>
      <w:b/>
      <w:bCs/>
      <w:sz w:val="32"/>
      <w:szCs w:val="32"/>
    </w:rPr>
  </w:style>
  <w:style w:type="character" w:default="1" w:styleId="30">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autoRedefine/>
    <w:qFormat/>
    <w:uiPriority w:val="0"/>
    <w:pPr>
      <w:ind w:left="1200" w:leftChars="1200"/>
    </w:pPr>
  </w:style>
  <w:style w:type="paragraph" w:styleId="6">
    <w:name w:val="Normal Indent"/>
    <w:basedOn w:val="1"/>
    <w:next w:val="1"/>
    <w:qFormat/>
    <w:uiPriority w:val="0"/>
    <w:pPr>
      <w:autoSpaceDE w:val="0"/>
      <w:autoSpaceDN w:val="0"/>
      <w:adjustRightInd w:val="0"/>
      <w:ind w:firstLine="420"/>
      <w:jc w:val="left"/>
      <w:textAlignment w:val="baseline"/>
    </w:pPr>
    <w:rPr>
      <w:rFonts w:eastAsia="Courier New"/>
      <w:kern w:val="0"/>
      <w:sz w:val="34"/>
      <w:szCs w:val="34"/>
    </w:rPr>
  </w:style>
  <w:style w:type="paragraph" w:styleId="7">
    <w:name w:val="index 5"/>
    <w:basedOn w:val="1"/>
    <w:next w:val="1"/>
    <w:qFormat/>
    <w:uiPriority w:val="0"/>
    <w:pPr>
      <w:ind w:left="1680"/>
    </w:pPr>
  </w:style>
  <w:style w:type="paragraph" w:styleId="8">
    <w:name w:val="annotation text"/>
    <w:qFormat/>
    <w:uiPriority w:val="0"/>
    <w:pPr>
      <w:spacing w:line="360" w:lineRule="auto"/>
    </w:pPr>
    <w:rPr>
      <w:rFonts w:ascii="宋体" w:hAnsi="Times New Roman" w:eastAsia="宋体" w:cs="Times New Roman"/>
      <w:kern w:val="2"/>
      <w:sz w:val="21"/>
      <w:szCs w:val="21"/>
      <w:lang w:val="en-US" w:eastAsia="zh-CN" w:bidi="ar-SA"/>
    </w:rPr>
  </w:style>
  <w:style w:type="paragraph" w:styleId="9">
    <w:name w:val="index 6"/>
    <w:basedOn w:val="1"/>
    <w:next w:val="1"/>
    <w:qFormat/>
    <w:uiPriority w:val="0"/>
    <w:pPr>
      <w:kinsoku w:val="0"/>
      <w:autoSpaceDE w:val="0"/>
      <w:autoSpaceDN w:val="0"/>
      <w:adjustRightInd w:val="0"/>
      <w:snapToGrid w:val="0"/>
      <w:spacing w:before="100" w:beforeAutospacing="1" w:after="100" w:afterAutospacing="1"/>
      <w:ind w:left="2100"/>
      <w:jc w:val="left"/>
      <w:textAlignment w:val="baseline"/>
    </w:pPr>
    <w:rPr>
      <w:rFonts w:cs="Arial"/>
      <w:kern w:val="0"/>
    </w:rPr>
  </w:style>
  <w:style w:type="paragraph" w:styleId="10">
    <w:name w:val="Closing"/>
    <w:basedOn w:val="1"/>
    <w:qFormat/>
    <w:uiPriority w:val="0"/>
    <w:pPr>
      <w:ind w:left="4320"/>
    </w:pPr>
  </w:style>
  <w:style w:type="paragraph" w:styleId="11">
    <w:name w:val="Body Text"/>
    <w:basedOn w:val="1"/>
    <w:qFormat/>
    <w:uiPriority w:val="0"/>
  </w:style>
  <w:style w:type="paragraph" w:styleId="12">
    <w:name w:val="Body Text Indent"/>
    <w:basedOn w:val="1"/>
    <w:qFormat/>
    <w:uiPriority w:val="0"/>
    <w:pPr>
      <w:spacing w:after="120"/>
      <w:ind w:left="420"/>
    </w:pPr>
  </w:style>
  <w:style w:type="paragraph" w:styleId="13">
    <w:name w:val="Plain Text"/>
    <w:qFormat/>
    <w:uiPriority w:val="0"/>
    <w:pPr>
      <w:widowControl w:val="0"/>
      <w:jc w:val="both"/>
    </w:pPr>
    <w:rPr>
      <w:rFonts w:ascii="宋体" w:hAnsi="Times New Roman" w:eastAsia="宋体" w:cs="Courier New"/>
      <w:kern w:val="2"/>
      <w:sz w:val="21"/>
      <w:szCs w:val="21"/>
      <w:lang w:val="en-US" w:eastAsia="zh-CN" w:bidi="ar-SA"/>
    </w:rPr>
  </w:style>
  <w:style w:type="paragraph" w:styleId="14">
    <w:name w:val="toc 8"/>
    <w:basedOn w:val="1"/>
    <w:next w:val="1"/>
    <w:autoRedefine/>
    <w:qFormat/>
    <w:uiPriority w:val="0"/>
    <w:pPr>
      <w:ind w:left="1400" w:leftChars="1400"/>
    </w:pPr>
  </w:style>
  <w:style w:type="paragraph" w:styleId="15">
    <w:name w:val="Balloon Text"/>
    <w:basedOn w:val="1"/>
    <w:qFormat/>
    <w:uiPriority w:val="0"/>
    <w:rPr>
      <w:sz w:val="18"/>
      <w:szCs w:val="18"/>
    </w:rPr>
  </w:style>
  <w:style w:type="paragraph" w:styleId="16">
    <w:name w:val="footer"/>
    <w:basedOn w:val="1"/>
    <w:qFormat/>
    <w:uiPriority w:val="0"/>
    <w:pPr>
      <w:tabs>
        <w:tab w:val="center" w:pos="4153"/>
        <w:tab w:val="right" w:pos="8307"/>
      </w:tabs>
      <w:snapToGrid w:val="0"/>
      <w:jc w:val="left"/>
    </w:pPr>
    <w:rPr>
      <w:sz w:val="18"/>
      <w:szCs w:val="18"/>
    </w:rPr>
  </w:style>
  <w:style w:type="paragraph" w:styleId="17">
    <w:name w:val="header"/>
    <w:basedOn w:val="1"/>
    <w:qFormat/>
    <w:uiPriority w:val="0"/>
    <w:pPr>
      <w:pBdr>
        <w:bottom w:val="single" w:color="auto" w:sz="6" w:space="1"/>
      </w:pBdr>
      <w:tabs>
        <w:tab w:val="center" w:pos="4153"/>
        <w:tab w:val="right" w:pos="8307"/>
      </w:tabs>
      <w:snapToGrid w:val="0"/>
      <w:jc w:val="center"/>
    </w:pPr>
    <w:rPr>
      <w:sz w:val="18"/>
      <w:szCs w:val="18"/>
    </w:rPr>
  </w:style>
  <w:style w:type="paragraph" w:styleId="18">
    <w:name w:val="Signature"/>
    <w:basedOn w:val="1"/>
    <w:qFormat/>
    <w:uiPriority w:val="0"/>
    <w:pPr>
      <w:ind w:left="4320"/>
    </w:pPr>
  </w:style>
  <w:style w:type="paragraph" w:styleId="19">
    <w:name w:val="toc 1"/>
    <w:basedOn w:val="1"/>
    <w:next w:val="1"/>
    <w:autoRedefine/>
    <w:qFormat/>
    <w:uiPriority w:val="0"/>
    <w:pPr>
      <w:spacing w:before="120" w:after="120"/>
      <w:jc w:val="left"/>
    </w:pPr>
    <w:rPr>
      <w:rFonts w:ascii="等线" w:eastAsia="等线"/>
      <w:b/>
      <w:bCs/>
      <w:caps/>
      <w:sz w:val="20"/>
      <w:szCs w:val="20"/>
    </w:rPr>
  </w:style>
  <w:style w:type="paragraph" w:styleId="20">
    <w:name w:val="List Number 5"/>
    <w:basedOn w:val="1"/>
    <w:qFormat/>
    <w:uiPriority w:val="0"/>
    <w:pPr>
      <w:numPr>
        <w:ilvl w:val="0"/>
        <w:numId w:val="1"/>
      </w:numPr>
    </w:pPr>
  </w:style>
  <w:style w:type="paragraph" w:styleId="21">
    <w:name w:val="Body Text Indent 3"/>
    <w:basedOn w:val="1"/>
    <w:qFormat/>
    <w:uiPriority w:val="0"/>
    <w:pPr>
      <w:adjustRightInd w:val="0"/>
      <w:snapToGrid w:val="0"/>
      <w:ind w:firstLine="200" w:firstLineChars="200"/>
    </w:pPr>
    <w:rPr>
      <w:sz w:val="28"/>
      <w:szCs w:val="28"/>
    </w:rPr>
  </w:style>
  <w:style w:type="paragraph" w:styleId="22">
    <w:name w:val="table of figures"/>
    <w:basedOn w:val="1"/>
    <w:next w:val="1"/>
    <w:qFormat/>
    <w:uiPriority w:val="0"/>
    <w:pPr>
      <w:ind w:left="400" w:leftChars="200" w:hanging="200" w:hangingChars="200"/>
    </w:pPr>
  </w:style>
  <w:style w:type="paragraph" w:styleId="23">
    <w:name w:val="toc 2"/>
    <w:basedOn w:val="1"/>
    <w:next w:val="1"/>
    <w:autoRedefine/>
    <w:qFormat/>
    <w:uiPriority w:val="0"/>
    <w:pPr>
      <w:spacing w:before="100" w:beforeAutospacing="1" w:after="100" w:afterAutospacing="1"/>
      <w:ind w:left="210"/>
      <w:jc w:val="left"/>
    </w:pPr>
    <w:rPr>
      <w:rFonts w:ascii="等线" w:eastAsia="等线"/>
      <w:smallCaps/>
      <w:sz w:val="20"/>
      <w:szCs w:val="20"/>
    </w:rPr>
  </w:style>
  <w:style w:type="paragraph" w:styleId="24">
    <w:name w:val="Normal (Web)"/>
    <w:basedOn w:val="1"/>
    <w:qFormat/>
    <w:uiPriority w:val="0"/>
    <w:pPr>
      <w:widowControl/>
      <w:spacing w:before="100" w:beforeAutospacing="1" w:after="100" w:afterAutospacing="1"/>
      <w:jc w:val="left"/>
    </w:pPr>
    <w:rPr>
      <w:rFonts w:ascii="宋体" w:cs="宋体"/>
      <w:kern w:val="0"/>
      <w:sz w:val="24"/>
    </w:rPr>
  </w:style>
  <w:style w:type="paragraph" w:styleId="25">
    <w:name w:val="Title"/>
    <w:next w:val="1"/>
    <w:qFormat/>
    <w:uiPriority w:val="0"/>
    <w:pPr>
      <w:widowControl w:val="0"/>
      <w:autoSpaceDE w:val="0"/>
      <w:autoSpaceDN w:val="0"/>
      <w:adjustRightInd w:val="0"/>
      <w:spacing w:before="240" w:after="60"/>
      <w:jc w:val="center"/>
      <w:outlineLvl w:val="0"/>
    </w:pPr>
    <w:rPr>
      <w:rFonts w:ascii="Cambria" w:hAnsi="Cambria" w:eastAsia="宋体" w:cs="Times New Roman"/>
      <w:b/>
      <w:bCs/>
      <w:sz w:val="32"/>
      <w:szCs w:val="32"/>
      <w:lang w:val="en-US" w:eastAsia="zh-CN" w:bidi="ar-SA"/>
    </w:rPr>
  </w:style>
  <w:style w:type="paragraph" w:styleId="26">
    <w:name w:val="annotation subject"/>
    <w:next w:val="8"/>
    <w:qFormat/>
    <w:uiPriority w:val="0"/>
    <w:pPr>
      <w:spacing w:line="360" w:lineRule="auto"/>
    </w:pPr>
    <w:rPr>
      <w:rFonts w:ascii="宋体" w:hAnsi="Times New Roman" w:eastAsia="宋体" w:cs="Times New Roman"/>
      <w:b/>
      <w:bCs/>
      <w:kern w:val="2"/>
      <w:sz w:val="21"/>
      <w:szCs w:val="21"/>
      <w:lang w:val="en-US" w:eastAsia="zh-CN" w:bidi="ar-SA"/>
    </w:rPr>
  </w:style>
  <w:style w:type="paragraph" w:styleId="27">
    <w:name w:val="Body Text First Indent"/>
    <w:basedOn w:val="11"/>
    <w:qFormat/>
    <w:uiPriority w:val="0"/>
    <w:pPr>
      <w:spacing w:before="100" w:beforeAutospacing="1" w:after="120"/>
      <w:ind w:firstLine="100" w:firstLineChars="100"/>
    </w:pPr>
  </w:style>
  <w:style w:type="paragraph" w:styleId="28">
    <w:name w:val="Body Text First Indent 2"/>
    <w:basedOn w:val="12"/>
    <w:qFormat/>
    <w:uiPriority w:val="0"/>
    <w:pPr>
      <w:spacing w:before="100" w:beforeAutospacing="1"/>
      <w:ind w:left="200" w:leftChars="200" w:firstLine="200" w:firstLineChars="200"/>
    </w:pPr>
  </w:style>
  <w:style w:type="character" w:styleId="31">
    <w:name w:val="Strong"/>
    <w:basedOn w:val="30"/>
    <w:qFormat/>
    <w:uiPriority w:val="0"/>
    <w:rPr>
      <w:b/>
      <w:bCs/>
    </w:rPr>
  </w:style>
  <w:style w:type="character" w:styleId="32">
    <w:name w:val="page number"/>
    <w:basedOn w:val="30"/>
    <w:qFormat/>
    <w:uiPriority w:val="0"/>
  </w:style>
  <w:style w:type="character" w:styleId="33">
    <w:name w:val="FollowedHyperlink"/>
    <w:basedOn w:val="30"/>
    <w:qFormat/>
    <w:uiPriority w:val="0"/>
    <w:rPr>
      <w:color w:val="800080"/>
      <w:u w:val="single"/>
    </w:rPr>
  </w:style>
  <w:style w:type="character" w:styleId="34">
    <w:name w:val="Hyperlink"/>
    <w:basedOn w:val="30"/>
    <w:qFormat/>
    <w:uiPriority w:val="0"/>
    <w:rPr>
      <w:color w:val="0000FF"/>
      <w:u w:val="single"/>
    </w:rPr>
  </w:style>
  <w:style w:type="character" w:styleId="35">
    <w:name w:val="annotation reference"/>
    <w:basedOn w:val="30"/>
    <w:qFormat/>
    <w:uiPriority w:val="0"/>
    <w:rPr>
      <w:sz w:val="21"/>
      <w:szCs w:val="21"/>
    </w:rPr>
  </w:style>
  <w:style w:type="character" w:customStyle="1" w:styleId="36">
    <w:name w:val="15"/>
    <w:basedOn w:val="30"/>
    <w:qFormat/>
    <w:uiPriority w:val="0"/>
    <w:rPr>
      <w:rFonts w:ascii="Times New Roman" w:hAnsi="Times New Roman"/>
      <w:sz w:val="21"/>
      <w:szCs w:val="21"/>
    </w:rPr>
  </w:style>
  <w:style w:type="paragraph" w:customStyle="1" w:styleId="37">
    <w:name w:val="B"/>
    <w:basedOn w:val="11"/>
    <w:qFormat/>
    <w:uiPriority w:val="0"/>
    <w:pPr>
      <w:autoSpaceDE w:val="0"/>
      <w:autoSpaceDN w:val="0"/>
      <w:ind w:firstLine="200" w:firstLineChars="200"/>
      <w:jc w:val="left"/>
    </w:pPr>
    <w:rPr>
      <w:sz w:val="24"/>
    </w:rPr>
  </w:style>
  <w:style w:type="paragraph" w:customStyle="1" w:styleId="38">
    <w:name w:val="C"/>
    <w:basedOn w:val="1"/>
    <w:qFormat/>
    <w:uiPriority w:val="0"/>
    <w:pPr>
      <w:autoSpaceDE w:val="0"/>
      <w:autoSpaceDN w:val="0"/>
      <w:jc w:val="left"/>
      <w:outlineLvl w:val="1"/>
    </w:pPr>
    <w:rPr>
      <w:b/>
      <w:bCs/>
      <w:kern w:val="0"/>
      <w:sz w:val="24"/>
    </w:rPr>
  </w:style>
  <w:style w:type="paragraph" w:customStyle="1" w:styleId="39">
    <w:name w:val="列表段落3"/>
    <w:basedOn w:val="1"/>
    <w:qFormat/>
    <w:uiPriority w:val="0"/>
    <w:pPr>
      <w:autoSpaceDE w:val="0"/>
      <w:autoSpaceDN w:val="0"/>
      <w:spacing w:before="100" w:beforeAutospacing="1" w:after="100" w:afterAutospacing="1"/>
      <w:ind w:left="124" w:firstLine="378"/>
      <w:jc w:val="left"/>
    </w:pPr>
    <w:rPr>
      <w:kern w:val="0"/>
      <w:sz w:val="22"/>
      <w:szCs w:val="22"/>
    </w:rPr>
  </w:style>
  <w:style w:type="paragraph" w:customStyle="1" w:styleId="40">
    <w:name w:val="列表段落1"/>
    <w:basedOn w:val="1"/>
    <w:qFormat/>
    <w:uiPriority w:val="0"/>
    <w:pPr>
      <w:suppressAutoHyphens/>
      <w:ind w:firstLine="420"/>
    </w:pPr>
    <w:rPr>
      <w:rFonts w:ascii="华文中宋" w:hAnsi="华文中宋"/>
    </w:rPr>
  </w:style>
  <w:style w:type="paragraph" w:customStyle="1" w:styleId="41">
    <w:name w:val="null3"/>
    <w:basedOn w:val="1"/>
    <w:qFormat/>
    <w:uiPriority w:val="0"/>
    <w:pPr>
      <w:jc w:val="left"/>
    </w:pPr>
    <w:rPr>
      <w:rFonts w:ascii="Calibri" w:hAnsi="Calibri"/>
      <w:kern w:val="0"/>
      <w:sz w:val="24"/>
    </w:rPr>
  </w:style>
  <w:style w:type="paragraph" w:customStyle="1" w:styleId="42">
    <w:name w:val="_Style 3"/>
    <w:basedOn w:val="1"/>
    <w:qFormat/>
    <w:uiPriority w:val="0"/>
    <w:pPr>
      <w:spacing w:line="240" w:lineRule="atLeast"/>
      <w:ind w:firstLine="200" w:firstLineChars="200"/>
      <w:jc w:val="left"/>
    </w:pPr>
    <w:rPr>
      <w:rFonts w:ascii="仿宋体" w:hAnsi="仿宋体" w:eastAsia="Arial" w:cs="Arial"/>
      <w:kern w:val="0"/>
      <w:sz w:val="24"/>
    </w:rPr>
  </w:style>
  <w:style w:type="paragraph" w:customStyle="1" w:styleId="43">
    <w:name w:val="D"/>
    <w:qFormat/>
    <w:uiPriority w:val="0"/>
    <w:pPr>
      <w:autoSpaceDE w:val="0"/>
      <w:autoSpaceDN w:val="0"/>
      <w:spacing w:line="360" w:lineRule="auto"/>
      <w:jc w:val="both"/>
      <w:outlineLvl w:val="2"/>
    </w:pPr>
    <w:rPr>
      <w:rFonts w:ascii="宋体" w:hAnsi="Times New Roman" w:eastAsia="宋体" w:cs="Arial"/>
      <w:b/>
      <w:bCs/>
      <w:sz w:val="24"/>
      <w:szCs w:val="24"/>
      <w:lang w:val="en-US" w:eastAsia="zh-CN" w:bidi="ar-SA"/>
    </w:rPr>
  </w:style>
  <w:style w:type="paragraph" w:customStyle="1" w:styleId="44">
    <w:name w:val="列表段落2"/>
    <w:basedOn w:val="1"/>
    <w:qFormat/>
    <w:uiPriority w:val="0"/>
    <w:pPr>
      <w:ind w:firstLine="200" w:firstLineChars="200"/>
    </w:pPr>
  </w:style>
  <w:style w:type="paragraph" w:customStyle="1" w:styleId="45">
    <w:name w:val="修订1"/>
    <w:qFormat/>
    <w:uiPriority w:val="0"/>
    <w:rPr>
      <w:rFonts w:ascii="宋体" w:hAnsi="Times New Roman" w:eastAsia="宋体" w:cs="Times New Roman"/>
      <w:kern w:val="2"/>
      <w:sz w:val="21"/>
      <w:szCs w:val="21"/>
      <w:lang w:val="en-US" w:eastAsia="zh-CN" w:bidi="ar-SA"/>
    </w:rPr>
  </w:style>
  <w:style w:type="paragraph" w:customStyle="1" w:styleId="46">
    <w:name w:val="修订2"/>
    <w:qFormat/>
    <w:uiPriority w:val="0"/>
    <w:rPr>
      <w:rFonts w:ascii="宋体" w:hAnsi="Times New Roman" w:eastAsia="宋体" w:cs="Times New Roman"/>
      <w:kern w:val="2"/>
      <w:sz w:val="21"/>
      <w:szCs w:val="21"/>
      <w:lang w:val="en-US" w:eastAsia="zh-CN" w:bidi="ar-SA"/>
    </w:rPr>
  </w:style>
  <w:style w:type="paragraph" w:customStyle="1" w:styleId="47">
    <w:name w:val="Table Text"/>
    <w:basedOn w:val="1"/>
    <w:qFormat/>
    <w:uiPriority w:val="0"/>
    <w:pPr>
      <w:kinsoku w:val="0"/>
      <w:autoSpaceDE w:val="0"/>
      <w:autoSpaceDN w:val="0"/>
      <w:adjustRightInd w:val="0"/>
      <w:snapToGrid w:val="0"/>
      <w:spacing w:after="160"/>
      <w:jc w:val="left"/>
      <w:textAlignment w:val="baseline"/>
    </w:pPr>
    <w:rPr>
      <w:rFonts w:cs="宋体"/>
      <w:snapToGrid w:val="0"/>
      <w:color w:val="000000"/>
      <w:kern w:val="0"/>
      <w:sz w:val="24"/>
    </w:rPr>
  </w:style>
  <w:style w:type="paragraph" w:customStyle="1" w:styleId="48">
    <w:name w:val="列出段落1"/>
    <w:next w:val="14"/>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49">
    <w:name w:val="样式 10 磅"/>
    <w:qFormat/>
    <w:uiPriority w:val="0"/>
    <w:pPr>
      <w:spacing w:line="360" w:lineRule="auto"/>
    </w:pPr>
    <w:rPr>
      <w:rFonts w:ascii="宋体" w:hAnsi="Times New Roman" w:eastAsia="宋体" w:cs="Times New Roman"/>
      <w:kern w:val="2"/>
      <w:sz w:val="21"/>
      <w:szCs w:val="21"/>
      <w:lang w:val="en-US" w:eastAsia="zh-CN" w:bidi="ar-SA"/>
    </w:rPr>
  </w:style>
  <w:style w:type="paragraph" w:customStyle="1" w:styleId="50">
    <w:name w:val="样式 1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51">
    <w:name w:val="样式 2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52">
    <w:name w:val="样式 3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53">
    <w:name w:val="样式 4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54">
    <w:name w:val="样式 5 10 磅"/>
    <w:qFormat/>
    <w:uiPriority w:val="0"/>
    <w:pPr>
      <w:spacing w:before="100" w:beforeAutospacing="1" w:after="120"/>
      <w:ind w:left="200" w:leftChars="200" w:firstLine="200" w:firstLineChars="200"/>
      <w:jc w:val="both"/>
    </w:pPr>
    <w:rPr>
      <w:rFonts w:ascii="宋体" w:hAnsi="Times New Roman" w:eastAsia="宋体" w:cs="Times New Roman"/>
      <w:kern w:val="2"/>
      <w:sz w:val="21"/>
      <w:szCs w:val="21"/>
      <w:lang w:val="en-US" w:eastAsia="zh-CN" w:bidi="ar-SA"/>
    </w:rPr>
  </w:style>
  <w:style w:type="paragraph" w:customStyle="1" w:styleId="55">
    <w:name w:val="样式 6 10 磅"/>
    <w:qFormat/>
    <w:uiPriority w:val="0"/>
    <w:pPr>
      <w:spacing w:line="360" w:lineRule="auto"/>
    </w:pPr>
    <w:rPr>
      <w:rFonts w:ascii="宋体" w:hAnsi="Times New Roman" w:eastAsia="宋体" w:cs="Times New Roman"/>
      <w:kern w:val="2"/>
      <w:sz w:val="21"/>
      <w:szCs w:val="21"/>
      <w:lang w:val="en-US" w:eastAsia="zh-CN" w:bidi="ar-SA"/>
    </w:rPr>
  </w:style>
  <w:style w:type="paragraph" w:customStyle="1" w:styleId="56">
    <w:name w:val="样式 7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57">
    <w:name w:val="样式 8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58">
    <w:name w:val="样式 9 10 磅"/>
    <w:qFormat/>
    <w:uiPriority w:val="0"/>
    <w:pPr>
      <w:spacing w:before="100" w:beforeAutospacing="1" w:after="120"/>
      <w:ind w:left="200" w:leftChars="200" w:firstLine="200" w:firstLineChars="200"/>
      <w:jc w:val="both"/>
    </w:pPr>
    <w:rPr>
      <w:rFonts w:ascii="宋体" w:hAnsi="Times New Roman" w:eastAsia="宋体" w:cs="Times New Roman"/>
      <w:kern w:val="2"/>
      <w:sz w:val="21"/>
      <w:szCs w:val="21"/>
      <w:lang w:val="en-US" w:eastAsia="zh-CN" w:bidi="ar-SA"/>
    </w:rPr>
  </w:style>
  <w:style w:type="paragraph" w:customStyle="1" w:styleId="59">
    <w:name w:val="样式 10 10 磅"/>
    <w:qFormat/>
    <w:uiPriority w:val="0"/>
    <w:pPr>
      <w:spacing w:line="360" w:lineRule="auto"/>
    </w:pPr>
    <w:rPr>
      <w:rFonts w:ascii="宋体" w:hAnsi="Times New Roman" w:eastAsia="宋体" w:cs="Times New Roman"/>
      <w:kern w:val="2"/>
      <w:sz w:val="21"/>
      <w:szCs w:val="21"/>
      <w:lang w:val="en-US" w:eastAsia="zh-CN" w:bidi="ar-SA"/>
    </w:rPr>
  </w:style>
  <w:style w:type="paragraph" w:customStyle="1" w:styleId="60">
    <w:name w:val="样式 11 10 磅"/>
    <w:qFormat/>
    <w:uiPriority w:val="0"/>
    <w:pPr>
      <w:spacing w:line="360" w:lineRule="auto"/>
    </w:pPr>
    <w:rPr>
      <w:rFonts w:ascii="宋体" w:hAnsi="Times New Roman" w:eastAsia="宋体" w:cs="Times New Roman"/>
      <w:kern w:val="2"/>
      <w:sz w:val="21"/>
      <w:szCs w:val="21"/>
      <w:lang w:val="en-US" w:eastAsia="zh-CN" w:bidi="ar-SA"/>
    </w:rPr>
  </w:style>
  <w:style w:type="paragraph" w:customStyle="1" w:styleId="61">
    <w:name w:val="样式 12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62">
    <w:name w:val="样式 13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63">
    <w:name w:val="样式 14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64">
    <w:name w:val="样式 15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65">
    <w:name w:val="样式 16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66">
    <w:name w:val="样式 17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67">
    <w:name w:val="样式 18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68">
    <w:name w:val="样式 19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69">
    <w:name w:val="样式 20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70">
    <w:name w:val="修订3"/>
    <w:qFormat/>
    <w:uiPriority w:val="0"/>
    <w:rPr>
      <w:rFonts w:ascii="宋体" w:hAnsi="Times New Roman" w:eastAsia="宋体" w:cs="Times New Roman"/>
      <w:kern w:val="2"/>
      <w:sz w:val="21"/>
      <w:szCs w:val="21"/>
      <w:lang w:val="en-US" w:eastAsia="zh-CN" w:bidi="ar-SA"/>
    </w:rPr>
  </w:style>
  <w:style w:type="paragraph" w:customStyle="1" w:styleId="71">
    <w:name w:val="列表段落4"/>
    <w:basedOn w:val="1"/>
    <w:qFormat/>
    <w:uiPriority w:val="0"/>
    <w:pPr>
      <w:ind w:firstLine="200" w:firstLineChars="200"/>
    </w:pPr>
  </w:style>
  <w:style w:type="paragraph" w:customStyle="1" w:styleId="72">
    <w:name w:val="Table Paragraph"/>
    <w:basedOn w:val="1"/>
    <w:qFormat/>
    <w:uiPriority w:val="0"/>
    <w:pPr>
      <w:autoSpaceDE w:val="0"/>
      <w:autoSpaceDN w:val="0"/>
      <w:jc w:val="left"/>
    </w:pPr>
    <w:rPr>
      <w:rFonts w:cs="宋体"/>
      <w:kern w:val="0"/>
      <w:szCs w:val="22"/>
    </w:rPr>
  </w:style>
  <w:style w:type="paragraph" w:customStyle="1" w:styleId="73">
    <w:name w:val="修订4"/>
    <w:qFormat/>
    <w:uiPriority w:val="0"/>
    <w:rPr>
      <w:rFonts w:ascii="宋体" w:hAnsi="Times New Roman" w:eastAsia="宋体" w:cs="Times New Roman"/>
      <w:kern w:val="2"/>
      <w:sz w:val="21"/>
      <w:szCs w:val="21"/>
      <w:lang w:val="en-US" w:eastAsia="zh-CN" w:bidi="ar-SA"/>
    </w:rPr>
  </w:style>
  <w:style w:type="paragraph" w:customStyle="1" w:styleId="74">
    <w:name w:val="样式 21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75">
    <w:name w:val="修订5"/>
    <w:qFormat/>
    <w:uiPriority w:val="0"/>
    <w:rPr>
      <w:rFonts w:ascii="宋体" w:hAnsi="Times New Roman" w:eastAsia="宋体" w:cs="Times New Roman"/>
      <w:kern w:val="2"/>
      <w:sz w:val="21"/>
      <w:szCs w:val="21"/>
      <w:lang w:val="en-US" w:eastAsia="zh-CN" w:bidi="ar-SA"/>
    </w:rPr>
  </w:style>
  <w:style w:type="paragraph" w:customStyle="1" w:styleId="76">
    <w:name w:val="样式 22 10 磅"/>
    <w:qFormat/>
    <w:uiPriority w:val="0"/>
    <w:rPr>
      <w:rFonts w:ascii="Times New Roman" w:hAnsi="Times New Roman" w:eastAsia="宋体" w:cs="Times New Roman"/>
      <w:sz w:val="21"/>
      <w:szCs w:val="21"/>
      <w:lang w:val="en-US" w:eastAsia="zh-CN" w:bidi="ar-SA"/>
    </w:rPr>
  </w:style>
  <w:style w:type="paragraph" w:customStyle="1" w:styleId="77">
    <w:name w:val="样式 23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78">
    <w:name w:val="样式 24 10 磅"/>
    <w:qFormat/>
    <w:uiPriority w:val="0"/>
    <w:pPr>
      <w:spacing w:line="360" w:lineRule="auto"/>
    </w:pPr>
    <w:rPr>
      <w:rFonts w:ascii="宋体" w:hAnsi="Times New Roman" w:eastAsia="宋体" w:cs="Times New Roman"/>
      <w:kern w:val="2"/>
      <w:sz w:val="21"/>
      <w:szCs w:val="21"/>
      <w:lang w:val="en-US" w:eastAsia="zh-CN" w:bidi="ar-SA"/>
    </w:rPr>
  </w:style>
  <w:style w:type="paragraph" w:customStyle="1" w:styleId="79">
    <w:name w:val="样式 25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80">
    <w:name w:val="样式 26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81">
    <w:name w:val="修订6"/>
    <w:qFormat/>
    <w:uiPriority w:val="0"/>
    <w:rPr>
      <w:rFonts w:ascii="宋体" w:hAnsi="Times New Roman" w:eastAsia="宋体" w:cs="Times New Roman"/>
      <w:kern w:val="2"/>
      <w:sz w:val="21"/>
      <w:szCs w:val="21"/>
      <w:lang w:val="en-US" w:eastAsia="zh-CN" w:bidi="ar-SA"/>
    </w:rPr>
  </w:style>
  <w:style w:type="paragraph" w:customStyle="1" w:styleId="82">
    <w:name w:val="修订7"/>
    <w:qFormat/>
    <w:uiPriority w:val="0"/>
    <w:rPr>
      <w:rFonts w:ascii="宋体" w:hAnsi="Times New Roman" w:eastAsia="宋体" w:cs="Times New Roman"/>
      <w:kern w:val="2"/>
      <w:sz w:val="21"/>
      <w:szCs w:val="21"/>
      <w:lang w:val="en-US" w:eastAsia="zh-CN" w:bidi="ar-SA"/>
    </w:rPr>
  </w:style>
  <w:style w:type="paragraph" w:customStyle="1" w:styleId="83">
    <w:name w:val="修订8"/>
    <w:qFormat/>
    <w:uiPriority w:val="0"/>
    <w:rPr>
      <w:rFonts w:ascii="Times New Roman" w:hAnsi="Times New Roman" w:eastAsia="宋体" w:cs="Times New Roman"/>
      <w:kern w:val="2"/>
      <w:sz w:val="21"/>
      <w:szCs w:val="24"/>
      <w:lang w:val="en-US" w:eastAsia="zh-CN" w:bidi="ar-SA"/>
    </w:rPr>
  </w:style>
  <w:style w:type="character" w:customStyle="1" w:styleId="84">
    <w:name w:val="未处理的提及1"/>
    <w:basedOn w:val="30"/>
    <w:qFormat/>
    <w:uiPriority w:val="0"/>
    <w:rPr>
      <w:color w:val="605E5C"/>
      <w:shd w:val="clear" w:color="auto" w:fill="E1DFDD"/>
    </w:rPr>
  </w:style>
  <w:style w:type="paragraph" w:customStyle="1" w:styleId="85">
    <w:name w:val="列表段落5"/>
    <w:basedOn w:val="1"/>
    <w:qFormat/>
    <w:uiPriority w:val="0"/>
    <w:pPr>
      <w:ind w:firstLine="200" w:firstLineChars="200"/>
    </w:pPr>
  </w:style>
  <w:style w:type="paragraph" w:customStyle="1" w:styleId="86">
    <w:name w:val="样式 27 10 磅"/>
    <w:qFormat/>
    <w:uiPriority w:val="0"/>
    <w:pPr>
      <w:widowControl w:val="0"/>
      <w:spacing w:before="100" w:beforeAutospacing="1" w:after="120"/>
      <w:ind w:left="200" w:leftChars="200" w:firstLine="200" w:firstLineChars="200"/>
      <w:jc w:val="both"/>
    </w:pPr>
    <w:rPr>
      <w:rFonts w:ascii="Times New Roman" w:hAnsi="Times New Roman" w:eastAsia="宋体" w:cs="Times New Roman"/>
      <w:kern w:val="2"/>
      <w:sz w:val="21"/>
      <w:szCs w:val="24"/>
      <w:lang w:val="en-US" w:eastAsia="zh-CN" w:bidi="ar-SA"/>
    </w:rPr>
  </w:style>
  <w:style w:type="paragraph" w:customStyle="1" w:styleId="87">
    <w:name w:val="样式 28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88">
    <w:name w:val="样式 29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89">
    <w:name w:val="样式 30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90">
    <w:name w:val="样式 31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91">
    <w:name w:val="样式 32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92">
    <w:name w:val="样式 33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93">
    <w:name w:val="样式 34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94">
    <w:name w:val="样式 35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95">
    <w:name w:val="样式 36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96">
    <w:name w:val="样式 37 10 磅"/>
    <w:qFormat/>
    <w:uiPriority w:val="0"/>
    <w:pPr>
      <w:widowControl w:val="0"/>
      <w:spacing w:before="100" w:beforeAutospacing="1" w:after="120"/>
      <w:ind w:left="200" w:leftChars="200" w:firstLine="200" w:firstLineChars="200"/>
      <w:jc w:val="both"/>
    </w:pPr>
    <w:rPr>
      <w:rFonts w:ascii="Times New Roman" w:hAnsi="Times New Roman" w:eastAsia="宋体" w:cs="Times New Roman"/>
      <w:kern w:val="2"/>
      <w:sz w:val="21"/>
      <w:szCs w:val="24"/>
      <w:lang w:val="en-US" w:eastAsia="zh-CN" w:bidi="ar-SA"/>
    </w:rPr>
  </w:style>
  <w:style w:type="paragraph" w:customStyle="1" w:styleId="97">
    <w:name w:val="样式 38 10 磅"/>
    <w:qFormat/>
    <w:uiPriority w:val="0"/>
    <w:pPr>
      <w:widowControl w:val="0"/>
      <w:spacing w:before="100" w:beforeAutospacing="1" w:after="120"/>
      <w:ind w:left="200" w:leftChars="200" w:firstLine="200" w:firstLineChars="200"/>
      <w:jc w:val="both"/>
    </w:pPr>
    <w:rPr>
      <w:rFonts w:ascii="Times New Roman" w:hAnsi="Times New Roman" w:eastAsia="宋体" w:cs="Times New Roman"/>
      <w:kern w:val="2"/>
      <w:sz w:val="21"/>
      <w:szCs w:val="24"/>
      <w:lang w:val="en-US" w:eastAsia="zh-CN" w:bidi="ar-SA"/>
    </w:rPr>
  </w:style>
  <w:style w:type="paragraph" w:customStyle="1" w:styleId="98">
    <w:name w:val="样式 39 10 磅"/>
    <w:qFormat/>
    <w:uiPriority w:val="0"/>
    <w:pPr>
      <w:widowControl w:val="0"/>
      <w:spacing w:before="100" w:beforeAutospacing="1" w:after="120"/>
      <w:ind w:left="200" w:leftChars="200" w:firstLine="200" w:firstLineChars="200"/>
      <w:jc w:val="both"/>
    </w:pPr>
    <w:rPr>
      <w:rFonts w:ascii="Times New Roman" w:hAnsi="Times New Roman" w:eastAsia="宋体" w:cs="Times New Roman"/>
      <w:kern w:val="2"/>
      <w:sz w:val="21"/>
      <w:szCs w:val="24"/>
      <w:lang w:val="en-US" w:eastAsia="zh-CN" w:bidi="ar-SA"/>
    </w:rPr>
  </w:style>
  <w:style w:type="paragraph" w:customStyle="1" w:styleId="99">
    <w:name w:val="样式 40 10 磅"/>
    <w:qFormat/>
    <w:uiPriority w:val="0"/>
    <w:pPr>
      <w:spacing w:line="360" w:lineRule="auto"/>
    </w:pPr>
    <w:rPr>
      <w:rFonts w:ascii="宋体" w:hAnsi="Times New Roman" w:eastAsia="宋体" w:cs="Times New Roman"/>
      <w:kern w:val="2"/>
      <w:sz w:val="21"/>
      <w:szCs w:val="21"/>
      <w:lang w:val="en-US" w:eastAsia="zh-CN" w:bidi="ar-SA"/>
    </w:rPr>
  </w:style>
  <w:style w:type="paragraph" w:customStyle="1" w:styleId="100">
    <w:name w:val="样式 41 10 磅"/>
    <w:qFormat/>
    <w:uiPriority w:val="0"/>
    <w:pPr>
      <w:widowControl w:val="0"/>
      <w:spacing w:before="100" w:beforeAutospacing="1" w:after="120"/>
      <w:ind w:left="200" w:leftChars="200" w:firstLine="200" w:firstLineChars="200"/>
      <w:jc w:val="both"/>
    </w:pPr>
    <w:rPr>
      <w:rFonts w:ascii="Times New Roman" w:hAnsi="Times New Roman" w:eastAsia="宋体" w:cs="Times New Roman"/>
      <w:kern w:val="2"/>
      <w:sz w:val="21"/>
      <w:szCs w:val="24"/>
      <w:lang w:val="en-US" w:eastAsia="zh-CN" w:bidi="ar-SA"/>
    </w:rPr>
  </w:style>
  <w:style w:type="paragraph" w:customStyle="1" w:styleId="101">
    <w:name w:val="修订9"/>
    <w:qFormat/>
    <w:uiPriority w:val="0"/>
    <w:rPr>
      <w:rFonts w:ascii="Times New Roman" w:hAnsi="Times New Roman" w:eastAsia="宋体" w:cs="Times New Roman"/>
      <w:kern w:val="2"/>
      <w:sz w:val="21"/>
      <w:szCs w:val="24"/>
      <w:lang w:val="en-US" w:eastAsia="zh-CN" w:bidi="ar-SA"/>
    </w:rPr>
  </w:style>
  <w:style w:type="paragraph" w:customStyle="1" w:styleId="102">
    <w:name w:val="marklang-paragraph"/>
    <w:basedOn w:val="1"/>
    <w:qFormat/>
    <w:uiPriority w:val="0"/>
    <w:pPr>
      <w:widowControl/>
      <w:spacing w:before="100" w:beforeAutospacing="1" w:after="100" w:afterAutospacing="1"/>
      <w:jc w:val="left"/>
    </w:pPr>
    <w:rPr>
      <w:rFonts w:ascii="宋体" w:cs="宋体"/>
      <w:kern w:val="0"/>
      <w:sz w:val="24"/>
    </w:rPr>
  </w:style>
  <w:style w:type="character" w:customStyle="1" w:styleId="103">
    <w:name w:val="cosd-citation-citationid"/>
    <w:basedOn w:val="30"/>
    <w:qFormat/>
    <w:uiPriority w:val="0"/>
  </w:style>
  <w:style w:type="paragraph" w:customStyle="1" w:styleId="104">
    <w:name w:val="样式 42 10 磅"/>
    <w:qFormat/>
    <w:uiPriority w:val="0"/>
    <w:pPr>
      <w:spacing w:line="360" w:lineRule="auto"/>
    </w:pPr>
    <w:rPr>
      <w:rFonts w:ascii="宋体" w:hAnsi="Times New Roman" w:eastAsia="宋体" w:cs="Times New Roman"/>
      <w:kern w:val="2"/>
      <w:sz w:val="21"/>
      <w:szCs w:val="21"/>
      <w:lang w:val="en-US" w:eastAsia="zh-CN" w:bidi="ar-SA"/>
    </w:rPr>
  </w:style>
  <w:style w:type="paragraph" w:customStyle="1" w:styleId="105">
    <w:name w:val="样式 43 10 磅"/>
    <w:qFormat/>
    <w:uiPriority w:val="0"/>
    <w:pPr>
      <w:spacing w:line="360" w:lineRule="auto"/>
    </w:pPr>
    <w:rPr>
      <w:rFonts w:ascii="宋体" w:hAnsi="Times New Roman" w:eastAsia="宋体" w:cs="Times New Roman"/>
      <w:kern w:val="2"/>
      <w:sz w:val="21"/>
      <w:szCs w:val="21"/>
      <w:lang w:val="en-US" w:eastAsia="zh-CN" w:bidi="ar-SA"/>
    </w:rPr>
  </w:style>
  <w:style w:type="paragraph" w:customStyle="1" w:styleId="106">
    <w:name w:val="纯文本1"/>
    <w:basedOn w:val="1"/>
    <w:qFormat/>
    <w:uiPriority w:val="0"/>
    <w:rPr>
      <w:rFonts w:ascii="宋体" w:cs="Courier New"/>
      <w:szCs w:val="21"/>
    </w:rPr>
  </w:style>
  <w:style w:type="paragraph" w:customStyle="1" w:styleId="107">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68</Pages>
  <Words>614</Words>
  <Characters>655</Characters>
  <Lines>348</Lines>
  <Paragraphs>97</Paragraphs>
  <TotalTime>3</TotalTime>
  <ScaleCrop>false</ScaleCrop>
  <LinksUpToDate>false</LinksUpToDate>
  <CharactersWithSpaces>655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2025-06-18T01:52:00Z</dcterms:created>
  <dc:creator>kayan</dc:creator>
  <cp:lastModifiedBy>admin</cp:lastModifiedBy>
  <dcterms:modified xsi:type="dcterms:W3CDTF">2025-12-30T02:48:38Z</dcterms:modified>
  <cp:revision>144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eyJoZGlkIjoiMTAxNTNmODQ2ZWQzN2ZkMjRkNjQwMzA0NjQzMzFhNDgiLCJ1c2VySWQiOiIzOTQ1NjkzOTIifQ==</vt:lpwstr>
  </property>
  <property fmtid="{D5CDD505-2E9C-101B-9397-08002B2CF9AE}" pid="3" name="KSOProductBuildVer">
    <vt:lpwstr>2052-12.1.0.24034</vt:lpwstr>
  </property>
  <property fmtid="{D5CDD505-2E9C-101B-9397-08002B2CF9AE}" pid="4" name="ICV">
    <vt:lpwstr>DFE0BDEE32594A8C9895705A80A63998_13</vt:lpwstr>
  </property>
</Properties>
</file>