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28"/>
        <w:jc w:val="center"/>
        <w:rPr>
          <w:rFonts w:eastAsia="方正小标宋_GBK"/>
          <w:sz w:val="44"/>
          <w:szCs w:val="44"/>
        </w:rPr>
      </w:pPr>
      <w:bookmarkStart w:id="0" w:name="cogw__正文标题__Text"/>
      <w:r>
        <w:rPr>
          <w:rFonts w:ascii="Times New Roman" w:eastAsia="方正小标宋_GBK" w:cs="Times New Roman" w:hAnsi="Times New Roman"/>
          <w:b w:val="0"/>
          <w:snapToGrid/>
          <w:color w:val="auto"/>
          <w:spacing w:val="0"/>
          <w:w w:val="100"/>
          <w:kern w:val="2"/>
          <w:position w:val="0"/>
          <w:sz w:val="44"/>
          <w:szCs w:val="44"/>
          <w:u w:val="none" w:color="auto"/>
          <w:vertAlign w:val="baseline"/>
          <w:em w:val="none"/>
          <w:lang w:bidi="ar-SA"/>
        </w:rPr>
        <w:t>2026年前4个月阳江市外贸进出口情况</w:t>
      </w:r>
      <w:bookmarkEnd w:id="0"/>
    </w:p>
    <w:p>
      <w:pPr>
        <w:pStyle w:val="28"/>
        <w:spacing w:beforeAutospacing="0" w:afterAutospacing="0" w:line="540" w:lineRule="exact"/>
        <w:jc w:val="center"/>
        <w:rPr>
          <w:rFonts w:eastAsia="方正小标宋_GBK" w:hint="eastAsia"/>
          <w:sz w:val="44"/>
          <w:szCs w:val="44"/>
        </w:rPr>
      </w:pPr>
    </w:p>
    <w:p>
      <w:pPr>
        <w:pStyle w:val="29"/>
        <w:spacing w:beforeAutospacing="0" w:afterAutospacing="0" w:line="540" w:lineRule="exact"/>
        <w:ind w:firstLineChars="200" w:firstLine="632"/>
        <w:rPr>
          <w:rFonts w:eastAsia="方正仿宋_GBK"/>
          <w:color w:val="000000"/>
        </w:rPr>
      </w:pPr>
      <w:bookmarkStart w:id="1" w:name="cogw__正文__File"/>
      <w:bookmarkEnd w:id="1"/>
      <w:r>
        <w:rPr>
          <w:rFonts w:eastAsia="方正仿宋_GBK"/>
          <w:color w:val="000000"/>
        </w:rPr>
        <w:t>据海关统计，今年前4个月，阳江市外贸进出口值为74.4亿元，同比（下同）增长4.8%；其中，出口52.7亿元，下降2.2%；进口21.7亿元，增长26.6%。</w:t>
      </w:r>
    </w:p>
    <w:p>
      <w:pPr>
        <w:pStyle w:val="29"/>
        <w:spacing w:beforeAutospacing="0" w:afterAutospacing="0" w:line="540" w:lineRule="exact"/>
        <w:ind w:firstLineChars="200" w:firstLine="632"/>
        <w:rPr>
          <w:rFonts w:eastAsia="方正仿宋_GBK"/>
          <w:color w:val="000000"/>
        </w:rPr>
      </w:pPr>
      <w:r>
        <w:rPr>
          <w:rFonts w:eastAsia="方正仿宋_GBK" w:hint="eastAsia"/>
          <w:color w:val="000000"/>
        </w:rPr>
        <w:t>4月份，阳江市外贸进出口值为18.6亿元，增长5%；其中，出口13.4亿元，增长12.5%；进口5.2亿元，下降10.4%。</w:t>
      </w:r>
    </w:p>
    <w:p>
      <w:pPr>
        <w:pStyle w:val="30"/>
        <w:spacing w:beforeAutospacing="0" w:afterAutospacing="0" w:line="540" w:lineRule="exact"/>
        <w:ind w:firstLineChars="200" w:firstLine="632"/>
      </w:pPr>
      <w:r>
        <w:t>主要特点如下：</w:t>
      </w:r>
    </w:p>
    <w:p>
      <w:pPr>
        <w:pStyle w:val="31"/>
        <w:spacing w:beforeAutospacing="0" w:afterAutospacing="0" w:line="540" w:lineRule="exact"/>
        <w:ind w:firstLine="664"/>
        <w:rPr>
          <w:rFonts w:ascii="方正黑体_GBK" w:eastAsia="方正黑体_GBK" w:hint="eastAsia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一、镍矿、焦炭及半焦炭进口均大幅增长</w:t>
      </w:r>
    </w:p>
    <w:p>
      <w:pPr>
        <w:pStyle w:val="32"/>
        <w:spacing w:beforeAutospacing="0" w:afterAutospacing="0" w:line="540" w:lineRule="exact"/>
        <w:ind w:firstLine="640"/>
        <w:rPr>
          <w:rFonts w:ascii="Times New Roman" w:eastAsia="方正仿宋_GBK" w:hAnsi="Times New Roman"/>
          <w:sz w:val="32"/>
          <w:szCs w:val="20"/>
        </w:rPr>
      </w:pPr>
      <w:r>
        <w:rPr>
          <w:rFonts w:ascii="Times New Roman" w:eastAsia="方正仿宋_GBK" w:hAnsi="Times New Roman"/>
          <w:sz w:val="32"/>
          <w:szCs w:val="20"/>
        </w:rPr>
        <w:t>前4个月，阳江市出口机电产品35.2亿元，增长4.8%，其中金属制品27.8亿元，增长3.7%。出口刀剪类产品13.7亿元，增长3.4%；出口塑料制品5.4亿元，增长0.5%；出口泵3.2亿元，增长12.6%；出口农产品3.2亿元，下降18%，其中水产品2.7亿元，下降15.8%；出口家用手工工具2.5亿元，增长5.3%。</w:t>
      </w:r>
    </w:p>
    <w:p>
      <w:pPr>
        <w:pStyle w:val="32"/>
        <w:spacing w:beforeAutospacing="0" w:afterAutospacing="0" w:line="540" w:lineRule="exact"/>
        <w:ind w:firstLine="640"/>
        <w:rPr>
          <w:rFonts w:ascii="Arial" w:hAnsi="Arial"/>
          <w:sz w:val="21"/>
        </w:rPr>
      </w:pPr>
      <w:r>
        <w:rPr>
          <w:rFonts w:ascii="Times New Roman" w:eastAsia="方正仿宋_GBK" w:hAnsi="Times New Roman"/>
          <w:sz w:val="32"/>
          <w:szCs w:val="20"/>
        </w:rPr>
        <w:t>前4个月，进口铁矿砂及其精矿6.7亿元，增长23.6%；进口镍矿砂及其精矿6.5亿元，增长56%；进口钢材3.1亿元，下降3.3%；进口铬铁1.8亿元，去年同期无进口；进口焦炭及半焦炭1.6亿元，增长70.9%。</w:t>
      </w:r>
    </w:p>
    <w:p>
      <w:pPr>
        <w:pStyle w:val="33"/>
        <w:spacing w:beforeAutospacing="0" w:afterAutospacing="0" w:line="540" w:lineRule="exact"/>
        <w:ind w:firstLine="664"/>
        <w:rPr>
          <w:rFonts w:ascii="方正黑体_GBK" w:eastAsia="方正黑体_GBK" w:hint="eastAsia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二、对美欧传统市场出口有所下降，自东盟、非洲等新兴市场进口保持增长</w:t>
      </w:r>
    </w:p>
    <w:p>
      <w:pPr>
        <w:pStyle w:val="34"/>
        <w:spacing w:line="540" w:lineRule="exact"/>
        <w:ind w:firstLineChars="200" w:firstLine="632"/>
        <w:rPr>
          <w:rFonts w:ascii="Times New Roman" w:eastAsia="方正仿宋_GBK" w:hAnsi="Times New Roman"/>
          <w:sz w:val="32"/>
          <w:szCs w:val="20"/>
        </w:rPr>
      </w:pPr>
      <w:r>
        <w:rPr>
          <w:rFonts w:ascii="Times New Roman" w:eastAsia="方正仿宋_GBK" w:hAnsi="Times New Roman" w:hint="eastAsia"/>
          <w:sz w:val="32"/>
          <w:szCs w:val="20"/>
        </w:rPr>
        <w:t>前4个月，阳江市前五位出口市场分别是美国（18.7亿元，下降8.3%）、欧盟（11.5亿元，下降7.5%）、东盟（2.9亿元，增长18.4%）、中国香港（2.4亿元，下降22.6%）、加拿大（2.3亿元，增长48.9%）。</w:t>
      </w:r>
    </w:p>
    <w:p>
      <w:pPr>
        <w:pStyle w:val="34"/>
        <w:spacing w:line="540" w:lineRule="exact"/>
        <w:ind w:firstLineChars="200" w:firstLine="632"/>
        <w:rPr>
          <w:rFonts w:ascii="Times New Roman" w:eastAsia="方正仿宋_GBK" w:hAnsi="Times New Roman" w:hint="eastAsia"/>
          <w:sz w:val="32"/>
          <w:szCs w:val="20"/>
        </w:rPr>
      </w:pPr>
      <w:r>
        <w:rPr>
          <w:rFonts w:ascii="Times New Roman" w:eastAsia="方正仿宋_GBK" w:hAnsi="Times New Roman" w:hint="eastAsia"/>
          <w:sz w:val="32"/>
          <w:szCs w:val="20"/>
        </w:rPr>
        <w:t>前五位进口来源地分别是东盟（11.6亿元，增长13.2%）、澳大利亚（3.3亿元，下降14.1%）、南非（1.8亿元，去年同期无进口）、利比里亚（1.7亿元，去年同期无进口）、巴西（1.7亿元，增长110.4%）。</w:t>
      </w:r>
    </w:p>
    <w:p>
      <w:pPr>
        <w:pStyle w:val="34"/>
        <w:spacing w:beforeAutospacing="0" w:afterAutospacing="0" w:line="540" w:lineRule="exact"/>
        <w:ind w:firstLineChars="200" w:firstLine="632"/>
        <w:rPr>
          <w:rFonts w:ascii="Times New Roman" w:eastAsia="方正仿宋_GBK" w:hAnsi="Times New Roman" w:hint="eastAsia"/>
          <w:sz w:val="32"/>
          <w:szCs w:val="20"/>
        </w:rPr>
      </w:pPr>
      <w:r>
        <w:rPr>
          <w:rFonts w:ascii="Times New Roman" w:eastAsia="方正仿宋_GBK" w:hAnsi="Times New Roman" w:hint="eastAsia"/>
          <w:sz w:val="32"/>
          <w:szCs w:val="20"/>
        </w:rPr>
        <w:t>同期，阳江市对共建“一带一路”国家进出口30.9亿元，增长20.4%；对RCEP其他成员国进出口21.7亿元，增长4.5%；对其他金砖国家进出口12.7亿元，增长21.3%。</w:t>
      </w:r>
    </w:p>
    <w:p>
      <w:pPr>
        <w:pStyle w:val="34"/>
        <w:spacing w:line="540" w:lineRule="exact"/>
        <w:ind w:firstLineChars="200" w:firstLine="632"/>
        <w:rPr>
          <w:rFonts w:ascii="方正楷体_GBK" w:eastAsia="方正楷体_GBK" w:hint="eastAsia"/>
          <w:szCs w:val="32"/>
        </w:rPr>
      </w:pPr>
      <w:r>
        <w:rPr>
          <w:rFonts w:ascii="方正黑体_GBK" w:eastAsia="方正黑体_GBK" w:hint="eastAsia"/>
          <w:szCs w:val="32"/>
        </w:rPr>
        <w:t>三、加工贸易进出口降幅明显</w:t>
      </w:r>
    </w:p>
    <w:p>
      <w:pPr>
        <w:pStyle w:val="37"/>
        <w:spacing w:beforeAutospacing="0" w:afterAutospacing="0" w:line="540" w:lineRule="exact"/>
        <w:ind w:firstLine="664"/>
        <w:rPr>
          <w:rFonts w:ascii="Arial" w:hAnsi="Arial"/>
          <w:sz w:val="21"/>
        </w:rPr>
      </w:pPr>
      <w:r>
        <w:rPr>
          <w:rFonts w:ascii="Times New Roman" w:eastAsia="方正仿宋_GBK" w:hAnsi="Times New Roman"/>
          <w:sz w:val="32"/>
          <w:szCs w:val="20"/>
        </w:rPr>
        <w:t>前4个月</w:t>
      </w:r>
      <w:r>
        <w:rPr>
          <w:rFonts w:ascii="Times New Roman" w:eastAsia="方正仿宋_GBK" w:hAnsi="Times New Roman"/>
          <w:sz w:val="32"/>
          <w:szCs w:val="32"/>
        </w:rPr>
        <w:t>，阳江市一般贸易进出口68.9亿元，增长12.7%；其中，出口</w:t>
      </w:r>
      <w:r>
        <w:rPr>
          <w:rFonts w:ascii="Times New Roman" w:hAnsi="Times New Roman"/>
          <w:sz w:val="32"/>
          <w:szCs w:val="32"/>
        </w:rPr>
        <w:t>50.4</w:t>
      </w:r>
      <w:r>
        <w:rPr>
          <w:rFonts w:ascii="Times New Roman" w:eastAsia="方正仿宋_GBK" w:hAnsi="Times New Roman"/>
          <w:sz w:val="32"/>
          <w:szCs w:val="32"/>
        </w:rPr>
        <w:t>亿元，增长2.4</w:t>
      </w:r>
      <w:r>
        <w:rPr>
          <w:rFonts w:ascii="Times New Roman" w:hAnsi="Times New Roman"/>
          <w:sz w:val="32"/>
          <w:szCs w:val="32"/>
        </w:rPr>
        <w:t>%</w:t>
      </w:r>
      <w:r>
        <w:rPr>
          <w:rFonts w:ascii="Times New Roman" w:eastAsia="方正仿宋_GBK" w:hAnsi="Times New Roman"/>
          <w:sz w:val="32"/>
          <w:szCs w:val="32"/>
        </w:rPr>
        <w:t>；进口18.5亿元，增长55.2%。加工贸易进出口5.5亿元，下降44.7%；其中，出口</w:t>
      </w:r>
      <w:r>
        <w:rPr>
          <w:rFonts w:ascii="Times New Roman" w:hAnsi="Times New Roman"/>
          <w:sz w:val="32"/>
          <w:szCs w:val="32"/>
        </w:rPr>
        <w:t>2.3</w:t>
      </w:r>
      <w:r>
        <w:rPr>
          <w:rFonts w:ascii="Times New Roman" w:eastAsia="方正仿宋_GBK" w:hAnsi="Times New Roman"/>
          <w:sz w:val="32"/>
          <w:szCs w:val="32"/>
        </w:rPr>
        <w:t>亿元，下降</w:t>
      </w:r>
      <w:r>
        <w:rPr>
          <w:rFonts w:ascii="Times New Roman" w:hAnsi="Times New Roman"/>
          <w:sz w:val="32"/>
          <w:szCs w:val="32"/>
        </w:rPr>
        <w:t>51.1%</w:t>
      </w:r>
      <w:r>
        <w:rPr>
          <w:rFonts w:ascii="Times New Roman" w:eastAsia="方正仿宋_GBK" w:hAnsi="Times New Roman"/>
          <w:sz w:val="32"/>
          <w:szCs w:val="32"/>
        </w:rPr>
        <w:t>；进口3.2亿元，下降39%</w:t>
      </w:r>
      <w:r>
        <w:rPr>
          <w:rFonts w:ascii="方正仿宋_GBK" w:eastAsia="方正仿宋_GBK" w:hint="eastAsia"/>
          <w:sz w:val="32"/>
          <w:szCs w:val="32"/>
        </w:rPr>
        <w:t>。</w:t>
      </w:r>
    </w:p>
    <w:p>
      <w:pPr>
        <w:pStyle w:val="36"/>
        <w:spacing w:beforeAutospacing="0" w:afterAutospacing="0" w:line="540" w:lineRule="exact"/>
        <w:ind w:firstLineChars="200" w:firstLine="632"/>
        <w:rPr>
          <w:rFonts w:ascii="方正黑体_GBK" w:eastAsia="方正黑体_GBK" w:hint="eastAsia"/>
          <w:szCs w:val="32"/>
        </w:rPr>
      </w:pPr>
      <w:r>
        <w:rPr>
          <w:rFonts w:ascii="方正黑体_GBK" w:eastAsia="方正黑体_GBK" w:hint="eastAsia"/>
          <w:szCs w:val="32"/>
        </w:rPr>
        <w:t>四、民营企业占比逾9成</w:t>
      </w:r>
    </w:p>
    <w:p>
      <w:pPr>
        <w:pStyle w:val="31"/>
        <w:spacing w:line="560" w:lineRule="exact"/>
        <w:ind w:firstLine="664"/>
        <w:rPr>
          <w:rFonts w:ascii="Times New Roman" w:eastAsia="方正仿宋_GBK" w:hAnsi="Times New Roman"/>
          <w:sz w:val="32"/>
          <w:szCs w:val="32"/>
          <w:shd w:val="solid" w:color="FFFF00" w:fill="FFFFFF"/>
        </w:rPr>
      </w:pPr>
      <w:r>
        <w:rPr>
          <w:rFonts w:ascii="Times New Roman" w:eastAsia="方正仿宋_GBK" w:hAnsi="Times New Roman"/>
          <w:sz w:val="32"/>
          <w:szCs w:val="20"/>
        </w:rPr>
        <w:t>前4个月</w:t>
      </w:r>
      <w:r>
        <w:rPr>
          <w:rFonts w:ascii="Times New Roman" w:eastAsia="方正仿宋_GBK" w:hAnsi="Times New Roman"/>
          <w:sz w:val="32"/>
          <w:szCs w:val="32"/>
        </w:rPr>
        <w:t>，</w:t>
      </w:r>
      <w:r>
        <w:rPr>
          <w:rFonts w:ascii="方正仿宋_GBK" w:eastAsia="方正仿宋_GBK" w:hint="eastAsia"/>
          <w:sz w:val="32"/>
          <w:szCs w:val="32"/>
        </w:rPr>
        <w:t>阳江市民营企业进出口</w:t>
      </w:r>
      <w:r>
        <w:rPr>
          <w:rFonts w:ascii="Times New Roman" w:hAnsi="Times New Roman"/>
          <w:bCs/>
          <w:sz w:val="32"/>
          <w:szCs w:val="32"/>
        </w:rPr>
        <w:t>67.6</w:t>
      </w:r>
      <w:r>
        <w:rPr>
          <w:rFonts w:ascii="方正仿宋_GBK" w:eastAsia="方正仿宋_GBK" w:hint="eastAsia"/>
          <w:sz w:val="32"/>
          <w:szCs w:val="32"/>
        </w:rPr>
        <w:t>亿元，增长</w:t>
      </w:r>
      <w:r>
        <w:rPr>
          <w:rFonts w:ascii="Times New Roman" w:hAnsi="Times New Roman"/>
          <w:bCs/>
          <w:sz w:val="32"/>
          <w:szCs w:val="32"/>
        </w:rPr>
        <w:t>5.6</w:t>
      </w:r>
      <w:r>
        <w:rPr>
          <w:rFonts w:ascii="Times New Roman" w:hAnsi="Times New Roman"/>
          <w:sz w:val="32"/>
          <w:szCs w:val="32"/>
        </w:rPr>
        <w:t>%</w:t>
      </w:r>
      <w:bookmarkStart w:id="2" w:name="_GoBack"/>
      <w:bookmarkEnd w:id="2"/>
      <w:r>
        <w:rPr>
          <w:rFonts w:ascii="方正仿宋_GBK" w:eastAsia="方正仿宋_GBK" w:hint="eastAsia"/>
          <w:sz w:val="32"/>
          <w:szCs w:val="32"/>
        </w:rPr>
        <w:t>；外商投资企业进出口</w:t>
      </w:r>
      <w:r>
        <w:rPr>
          <w:rFonts w:ascii="Times New Roman" w:hAnsi="Times New Roman"/>
          <w:sz w:val="32"/>
          <w:szCs w:val="32"/>
        </w:rPr>
        <w:t>6.6</w:t>
      </w:r>
      <w:r>
        <w:rPr>
          <w:rFonts w:ascii="方正仿宋_GBK" w:eastAsia="方正仿宋_GBK" w:hint="eastAsia"/>
          <w:sz w:val="32"/>
          <w:szCs w:val="32"/>
        </w:rPr>
        <w:t>亿元，下降</w:t>
      </w:r>
      <w:r>
        <w:rPr>
          <w:rFonts w:ascii="Times New Roman" w:hAnsi="Times New Roman"/>
          <w:sz w:val="32"/>
          <w:szCs w:val="32"/>
        </w:rPr>
        <w:t>2.4%</w:t>
      </w:r>
      <w:r>
        <w:rPr>
          <w:rFonts w:ascii="方正仿宋_GBK" w:eastAsia="方正仿宋_GBK" w:hint="eastAsia"/>
          <w:sz w:val="32"/>
          <w:szCs w:val="32"/>
        </w:rPr>
        <w:t>；国有企业进出口</w:t>
      </w:r>
      <w:r>
        <w:rPr>
          <w:rFonts w:ascii="Times New Roman" w:hAnsi="Times New Roman"/>
          <w:sz w:val="32"/>
          <w:szCs w:val="32"/>
        </w:rPr>
        <w:t>2012</w:t>
      </w:r>
      <w:r>
        <w:rPr>
          <w:rFonts w:ascii="方正仿宋_GBK" w:eastAsia="方正仿宋_GBK" w:hint="eastAsia"/>
          <w:sz w:val="32"/>
          <w:szCs w:val="32"/>
        </w:rPr>
        <w:t>万元，下降</w:t>
      </w:r>
      <w:r>
        <w:rPr>
          <w:rFonts w:ascii="Times New Roman" w:hAnsi="Times New Roman"/>
          <w:sz w:val="32"/>
          <w:szCs w:val="32"/>
        </w:rPr>
        <w:t>3.4%，</w:t>
      </w:r>
      <w:r>
        <w:rPr>
          <w:rFonts w:ascii="方正仿宋_GBK" w:eastAsia="方正仿宋_GBK" w:hint="eastAsia"/>
          <w:sz w:val="32"/>
          <w:szCs w:val="32"/>
        </w:rPr>
        <w:t>均为出口。</w:t>
      </w:r>
    </w:p>
    <w:p>
      <w:pPr>
        <w:pStyle w:val="38"/>
        <w:spacing w:beforeAutospacing="0" w:afterAutospacing="0" w:line="560" w:lineRule="exact"/>
        <w:ind w:firstLineChars="200" w:firstLine="632"/>
        <w:rPr>
          <w:rFonts w:ascii="方正仿宋_GBK" w:cs="方正仿宋_GBK" w:hint="eastAsia"/>
          <w:sz w:val="21"/>
          <w:szCs w:val="21"/>
          <w:lang w:bidi="ar-SA"/>
        </w:rPr>
      </w:pPr>
      <w:r>
        <w:rPr>
          <w:rFonts w:ascii="方正仿宋_GBK" w:cs="方正仿宋_GBK" w:hint="eastAsia"/>
          <w:lang w:bidi="ar-SA"/>
        </w:rPr>
        <w:t xml:space="preserve"> </w:t>
      </w:r>
    </w:p>
    <w:p>
      <w:pPr>
        <w:jc w:val="left"/>
      </w:pPr>
    </w:p>
    <w:sectPr>
      <w:pgSz w:w="11907" w:h="16840"/>
      <w:pgMar w:top="2098" w:right="1474" w:bottom="1985" w:left="1588" w:header="1814" w:footer="1474" w:gutter="0"/>
      <w:pgNumType w:start="0"/>
      <w:titlePg/>
      <w:docGrid w:type="linesAndChars" w:linePitch="580" w:charSpace="-84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方正楷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displayBackgroundShape/>
  <w:bordersDoNotSurroundHeader/>
  <w:bordersDoNotSurroundFooter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index 7"/>
    <w:basedOn w:val="0"/>
    <w:autoRedefine/>
    <w:next w:val="0"/>
    <w:pPr>
      <w:ind w:left="2520"/>
    </w:pPr>
  </w:style>
  <w:style w:type="paragraph" w:styleId="16">
    <w:name w:val="index 8"/>
    <w:basedOn w:val="0"/>
    <w:autoRedefine/>
    <w:next w:val="0"/>
    <w:pPr>
      <w:ind w:left="2940"/>
    </w:pPr>
  </w:style>
  <w:style w:type="paragraph" w:styleId="17">
    <w:name w:val="index 9"/>
    <w:basedOn w:val="0"/>
    <w:autoRedefine/>
    <w:next w:val="0"/>
    <w:pPr>
      <w:ind w:left="3360"/>
    </w:pPr>
  </w:style>
  <w:style w:type="paragraph" w:styleId="18">
    <w:name w:val="toc 1"/>
    <w:basedOn w:val="0"/>
    <w:autoRedefine/>
    <w:next w:val="0"/>
  </w:style>
  <w:style w:type="paragraph" w:styleId="19">
    <w:name w:val="toc 2"/>
    <w:basedOn w:val="0"/>
    <w:autoRedefine/>
    <w:next w:val="0"/>
    <w:pPr>
      <w:ind w:left="420"/>
    </w:pPr>
  </w:style>
  <w:style w:type="paragraph" w:styleId="20">
    <w:name w:val="toc 3"/>
    <w:basedOn w:val="0"/>
    <w:autoRedefine/>
    <w:next w:val="0"/>
    <w:pPr>
      <w:ind w:left="840"/>
    </w:pPr>
  </w:style>
  <w:style w:type="paragraph" w:styleId="21">
    <w:name w:val="toc 4"/>
    <w:basedOn w:val="0"/>
    <w:autoRedefine/>
    <w:next w:val="0"/>
    <w:pPr>
      <w:ind w:left="1260"/>
    </w:pPr>
  </w:style>
  <w:style w:type="paragraph" w:styleId="22">
    <w:name w:val="toc 5"/>
    <w:basedOn w:val="0"/>
    <w:autoRedefine/>
    <w:next w:val="0"/>
    <w:pPr>
      <w:ind w:left="1680"/>
    </w:pPr>
  </w:style>
  <w:style w:type="paragraph" w:styleId="23">
    <w:name w:val="toc 6"/>
    <w:basedOn w:val="0"/>
    <w:autoRedefine/>
    <w:next w:val="0"/>
    <w:pPr>
      <w:ind w:left="2100"/>
    </w:pPr>
  </w:style>
  <w:style w:type="paragraph" w:styleId="24">
    <w:name w:val="toc 7"/>
    <w:basedOn w:val="0"/>
    <w:autoRedefine/>
    <w:next w:val="0"/>
    <w:pPr>
      <w:ind w:left="2520"/>
    </w:pPr>
  </w:style>
  <w:style w:type="paragraph" w:styleId="25">
    <w:name w:val="toc 8"/>
    <w:basedOn w:val="0"/>
    <w:autoRedefine/>
    <w:next w:val="0"/>
    <w:pPr>
      <w:ind w:left="2940"/>
    </w:pPr>
  </w:style>
  <w:style w:type="paragraph" w:styleId="26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27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customStyle="1" w:styleId="28">
    <w:name w:val="样式 三号"/>
    <w:next w:val="15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4"/>
      <w:lang w:val="en-US" w:eastAsia="zh-CN" w:bidi="ar-SA"/>
    </w:rPr>
  </w:style>
  <w:style w:type="paragraph" w:customStyle="1" w:styleId="29">
    <w:name w:val="样式 27 三号"/>
    <w:next w:val="16"/>
    <w:pPr>
      <w:jc w:val="both"/>
    </w:pPr>
    <w:rPr>
      <w:rFonts w:ascii="Times New Roman" w:eastAsia="宋体" w:cs="Times New Roman" w:hAnsi="Times New Roman"/>
      <w:sz w:val="32"/>
      <w:szCs w:val="32"/>
      <w:lang w:val="en-US" w:eastAsia="zh-CN" w:bidi="ar-SA"/>
    </w:rPr>
  </w:style>
  <w:style w:type="paragraph" w:customStyle="1" w:styleId="30">
    <w:name w:val="样式 9 三号"/>
    <w:next w:val="17"/>
    <w:pPr>
      <w:widowControl w:val="0"/>
      <w:spacing w:line="360" w:lineRule="auto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31">
    <w:name w:val="样式 60 小四"/>
    <w:next w:val="18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2">
    <w:name w:val="样式 61 小四"/>
    <w:next w:val="19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3">
    <w:name w:val="样式 62 小四"/>
    <w:next w:val="20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4">
    <w:name w:val="样式 13 三号"/>
    <w:next w:val="21"/>
    <w:pPr>
      <w:widowControl w:val="0"/>
      <w:spacing w:line="360" w:lineRule="auto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35">
    <w:name w:val="样式 28 三号"/>
    <w:next w:val="22"/>
    <w:pPr>
      <w:jc w:val="both"/>
    </w:pPr>
    <w:rPr>
      <w:rFonts w:ascii="Times New Roman" w:eastAsia="宋体" w:cs="Times New Roman" w:hAnsi="Times New Roman"/>
      <w:sz w:val="32"/>
      <w:szCs w:val="32"/>
      <w:lang w:val="en-US" w:eastAsia="zh-CN" w:bidi="ar-SA"/>
    </w:rPr>
  </w:style>
  <w:style w:type="paragraph" w:customStyle="1" w:styleId="36">
    <w:name w:val="样式 10 三号"/>
    <w:next w:val="23"/>
    <w:pPr>
      <w:widowControl w:val="0"/>
      <w:spacing w:line="360" w:lineRule="auto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37">
    <w:name w:val="样式 63 小四"/>
    <w:next w:val="24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8">
    <w:name w:val="样式 8 三号"/>
    <w:next w:val="25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4"/>
      <w:lang w:val="en-US" w:eastAsia="zh-CN" w:bidi="ar-SA"/>
    </w:rPr>
  </w:style>
  <w:style w:type="paragraph" w:customStyle="1" w:styleId="39">
    <w:name w:val="样式 1 三号"/>
    <w:pPr>
      <w:widowControl w:val="0"/>
      <w:spacing w:line="360" w:lineRule="auto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185</TotalTime>
  <Application>Yozo_Office</Application>
  <Pages>2</Pages>
  <Words>776</Words>
  <Characters>1012</Characters>
  <Lines>41</Lines>
  <Paragraphs>15</Paragraphs>
  <CharactersWithSpaces>1013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廖蔚</dc:creator>
  <cp:lastModifiedBy>廖蔚</cp:lastModifiedBy>
  <cp:revision>1</cp:revision>
  <dcterms:created xsi:type="dcterms:W3CDTF">2026-05-21T03:58:32Z</dcterms:created>
  <dcterms:modified xsi:type="dcterms:W3CDTF">2026-05-21T09:10:39Z</dcterms:modified>
</cp:coreProperties>
</file>