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napToGrid w:val="0"/>
        <w:spacing w:line="560" w:lineRule="exact"/>
        <w:jc w:val="center"/>
        <w:rPr>
          <w:rFonts w:eastAsia="方正小标宋_GBK"/>
          <w:sz w:val="44"/>
          <w:szCs w:val="44"/>
        </w:rPr>
      </w:pPr>
      <w:bookmarkStart w:id="0" w:name="cogw__正文标题__Text"/>
      <w:r>
        <w:rPr>
          <w:rFonts w:eastAsia="方正小标宋_GBK"/>
          <w:sz w:val="44"/>
          <w:szCs w:val="44"/>
        </w:rPr>
        <w:t>2026年</w:t>
      </w:r>
      <w:r>
        <w:rPr>
          <w:rFonts w:eastAsia="方正小标宋_GBK" w:hint="eastAsia"/>
          <w:sz w:val="44"/>
          <w:szCs w:val="44"/>
        </w:rPr>
        <w:t>前5个月</w:t>
      </w:r>
      <w:r>
        <w:rPr>
          <w:rFonts w:eastAsia="方正小标宋_GBK"/>
          <w:sz w:val="44"/>
          <w:szCs w:val="44"/>
        </w:rPr>
        <w:t>江门市外贸运行情况分析</w:t>
      </w:r>
      <w:bookmarkEnd w:id="0"/>
    </w:p>
    <w:p>
      <w:pPr>
        <w:spacing w:line="560" w:lineRule="exact"/>
        <w:jc w:val="center"/>
        <w:rPr>
          <w:rFonts w:eastAsia="方正小标宋_GBK" w:hint="eastAsia"/>
          <w:sz w:val="44"/>
          <w:szCs w:val="44"/>
        </w:rPr>
      </w:pPr>
    </w:p>
    <w:p>
      <w:pPr>
        <w:pStyle w:val="123"/>
        <w:adjustRightInd/>
        <w:snapToGrid w:val="0"/>
        <w:ind w:firstLineChars="200" w:firstLine="616"/>
        <w:contextualSpacing w:val="0"/>
      </w:pPr>
      <w:r>
        <w:rPr>
          <w:rFonts w:hint="eastAsia"/>
        </w:rPr>
        <w:t>据海关统计，今年前</w:t>
      </w:r>
      <w:r>
        <w:t>5</w:t>
      </w:r>
      <w:r>
        <w:rPr>
          <w:rFonts w:hint="eastAsia"/>
        </w:rPr>
        <w:t>个月，江门市外贸继续保持正增长，进出口</w:t>
      </w:r>
      <w:r>
        <w:t>837.2</w:t>
      </w:r>
      <w:r>
        <w:rPr>
          <w:rFonts w:hint="eastAsia"/>
        </w:rPr>
        <w:t>亿元，同比（下同）增长</w:t>
      </w:r>
      <w:r>
        <w:t>4.7%</w:t>
      </w:r>
      <w:r>
        <w:rPr>
          <w:rFonts w:hint="eastAsia"/>
        </w:rPr>
        <w:t>；其中，出口</w:t>
      </w:r>
      <w:r>
        <w:t>720.8</w:t>
      </w:r>
      <w:r>
        <w:rPr>
          <w:rFonts w:hint="eastAsia"/>
        </w:rPr>
        <w:t>亿元，增长</w:t>
      </w:r>
      <w:r>
        <w:t>5%</w:t>
      </w:r>
      <w:r>
        <w:rPr>
          <w:rFonts w:hint="eastAsia"/>
        </w:rPr>
        <w:t>；进口</w:t>
      </w:r>
      <w:r>
        <w:t>116.4</w:t>
      </w:r>
      <w:r>
        <w:rPr>
          <w:rFonts w:hint="eastAsia"/>
        </w:rPr>
        <w:t>亿元，增长</w:t>
      </w:r>
      <w:r>
        <w:t>2.4%</w:t>
      </w:r>
      <w:r>
        <w:rPr>
          <w:rFonts w:hint="eastAsia"/>
        </w:rPr>
        <w:t>。</w:t>
      </w:r>
    </w:p>
    <w:p>
      <w:pPr>
        <w:pStyle w:val="123"/>
        <w:adjustRightInd/>
        <w:snapToGrid w:val="0"/>
        <w:ind w:firstLineChars="200" w:firstLine="632"/>
        <w:contextualSpacing w:val="0"/>
        <w:rPr>
          <w:rFonts w:eastAsia="方正黑体_GBK"/>
          <w:spacing w:val="0"/>
          <w:szCs w:val="32"/>
        </w:rPr>
      </w:pPr>
      <w:r>
        <w:rPr>
          <w:rFonts w:eastAsia="方正黑体_GBK" w:hint="eastAsia"/>
          <w:bCs/>
          <w:spacing w:val="0"/>
          <w:szCs w:val="32"/>
        </w:rPr>
        <w:t>一、</w:t>
      </w:r>
      <w:r>
        <w:rPr>
          <w:rFonts w:eastAsia="方正黑体_GBK"/>
          <w:bCs/>
          <w:spacing w:val="0"/>
          <w:szCs w:val="32"/>
        </w:rPr>
        <w:t>进出口商品情况</w:t>
      </w:r>
    </w:p>
    <w:p>
      <w:pPr>
        <w:pStyle w:val="124"/>
        <w:adjustRightInd/>
        <w:snapToGrid w:val="0"/>
        <w:spacing w:line="560" w:lineRule="exact"/>
        <w:ind w:firstLineChars="200" w:firstLine="632"/>
        <w:contextualSpacing w:val="0"/>
        <w:rPr>
          <w:rFonts w:ascii="Times New Roman" w:eastAsia="方正仿宋_GBK" w:cs="Times New Roman" w:hAnsi="Times New Roman" w:hint="eastAsia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出口</w:t>
      </w:r>
      <w:r>
        <w:rPr>
          <w:rFonts w:ascii="Times New Roman" w:eastAsia="方正楷体_GBK" w:cs="Times New Roman" w:hAnsi="Times New Roman"/>
          <w:b/>
          <w:bCs/>
          <w:sz w:val="32"/>
          <w:szCs w:val="32"/>
        </w:rPr>
        <w:t>增速加快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、进口</w:t>
      </w:r>
      <w:r>
        <w:rPr>
          <w:rFonts w:ascii="Times New Roman" w:eastAsia="方正楷体_GBK" w:cs="Times New Roman" w:hAnsi="Times New Roman"/>
          <w:b/>
          <w:bCs/>
          <w:sz w:val="32"/>
          <w:szCs w:val="32"/>
        </w:rPr>
        <w:t>跌幅加深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，其中摩托车、船舶、印刷电路出口合计贡献五成以上增量，集成电路、锯材、初级形状塑料进口增速萎缩。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前5个月，我市</w:t>
      </w:r>
      <w:r>
        <w:rPr>
          <w:rFonts w:ascii="Times New Roman" w:eastAsia="方正仿宋_GBK" w:cs="Times New Roman" w:hAnsi="Times New Roman" w:hint="eastAsia"/>
          <w:b/>
          <w:sz w:val="32"/>
          <w:szCs w:val="32"/>
        </w:rPr>
        <w:t>出口端持续向好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，增速较前4个月扩大0.2个百分点。家电、纺织服装出口下滑，降幅分别收窄0.9个、扩大3.3个百分点；摩托车、船舶、印刷电路支撑作用突出，</w:t>
      </w:r>
      <w:r>
        <w:rPr>
          <w:rFonts w:ascii="Times New Roman" w:eastAsia="方正仿宋_GBK" w:cs="Times New Roman" w:hAnsi="Times New Roman"/>
          <w:sz w:val="32"/>
          <w:szCs w:val="32"/>
        </w:rPr>
        <w:t>对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出口</w:t>
      </w:r>
      <w:r>
        <w:rPr>
          <w:rFonts w:ascii="Times New Roman" w:eastAsia="方正仿宋_GBK" w:cs="Times New Roman" w:hAnsi="Times New Roman"/>
          <w:sz w:val="32"/>
          <w:szCs w:val="32"/>
        </w:rPr>
        <w:t>增长的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贡献率分别达27.2%、15.8%、10.7%。5月当月进口转为下降5.1%，拖累累计进口增速较前4个月回落1.9个百分点。集成电路、锯材虽保持较快增长，但增速分别回落13.8个、9.7个百分点，初级形状塑料进口降幅扩大7.2个百分点；煤炭、平板显示模组因</w:t>
      </w:r>
      <w:r>
        <w:rPr>
          <w:rFonts w:ascii="Times New Roman" w:eastAsia="方正仿宋_GBK" w:cs="Times New Roman" w:hAnsi="Times New Roman"/>
          <w:sz w:val="32"/>
          <w:szCs w:val="32"/>
        </w:rPr>
        <w:t>去年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同期基数较低，增速分别扩大5.2个、36.6个百分点。</w:t>
      </w:r>
    </w:p>
    <w:p>
      <w:pPr>
        <w:ind w:firstLine="643"/>
        <w:rPr>
          <w:rFonts w:eastAsia="方正黑体_GBK"/>
          <w:bCs/>
          <w:spacing w:val="0"/>
          <w:szCs w:val="32"/>
        </w:rPr>
      </w:pPr>
      <w:r>
        <w:rPr>
          <w:rFonts w:eastAsia="方正黑体_GBK"/>
          <w:bCs/>
          <w:spacing w:val="0"/>
          <w:szCs w:val="32"/>
        </w:rPr>
        <w:t>二</w:t>
      </w:r>
      <w:r>
        <w:rPr>
          <w:rFonts w:eastAsia="方正黑体_GBK" w:hint="eastAsia"/>
          <w:bCs/>
          <w:spacing w:val="0"/>
          <w:szCs w:val="32"/>
        </w:rPr>
        <w:t>、</w:t>
      </w:r>
      <w:r>
        <w:rPr>
          <w:rFonts w:eastAsia="方正黑体_GBK"/>
          <w:bCs/>
          <w:spacing w:val="0"/>
          <w:szCs w:val="32"/>
        </w:rPr>
        <w:t>进出口市场情况</w:t>
      </w:r>
    </w:p>
    <w:p>
      <w:pPr>
        <w:ind w:firstLine="643"/>
        <w:rPr>
          <w:rFonts w:hint="eastAsia"/>
          <w:bCs/>
        </w:rPr>
      </w:pPr>
      <w:r>
        <w:rPr>
          <w:rFonts w:eastAsia="方正楷体_GBK" w:hint="eastAsia"/>
          <w:b/>
          <w:bCs/>
          <w:szCs w:val="32"/>
        </w:rPr>
        <w:t>传统市场贡献率持续抬升，新兴市场</w:t>
      </w:r>
      <w:r>
        <w:rPr>
          <w:rFonts w:eastAsia="方正楷体_GBK"/>
          <w:b/>
          <w:bCs/>
          <w:szCs w:val="32"/>
        </w:rPr>
        <w:t>增速</w:t>
      </w:r>
      <w:r>
        <w:rPr>
          <w:rFonts w:eastAsia="方正楷体_GBK" w:hint="eastAsia"/>
          <w:b/>
          <w:bCs/>
          <w:szCs w:val="32"/>
        </w:rPr>
        <w:t>分化，拉美下行态势有所缓和，中东市场承压加剧。</w:t>
      </w:r>
      <w:r>
        <w:rPr>
          <w:rFonts w:hint="eastAsia"/>
          <w:spacing w:val="-4"/>
          <w:szCs w:val="20"/>
        </w:rPr>
        <w:t>前5个月，美欧日港英等传统市场对我市进出口贡献率达49.1%，较前4个月提高5.2个百分点；其中，对美进出口下降，降幅较前4个月收窄6.1个百分点，5月当月更是贡献最大增量，达4.3亿元。新兴市场整体占比仍处高位，其中，非洲、东盟、台湾、澳大利亚等市场均实现两位数增长</w:t>
      </w:r>
      <w:r>
        <w:rPr>
          <w:spacing w:val="-4"/>
          <w:szCs w:val="20"/>
        </w:rPr>
        <w:t>。</w:t>
      </w:r>
      <w:r>
        <w:rPr>
          <w:rFonts w:hint="eastAsia"/>
          <w:spacing w:val="-4"/>
          <w:szCs w:val="20"/>
        </w:rPr>
        <w:t>我市对拉美、中东进出口分别下降15.4%、14%，合计拖累外贸增速3个百分点</w:t>
      </w:r>
      <w:r>
        <w:rPr>
          <w:spacing w:val="-4"/>
          <w:szCs w:val="20"/>
        </w:rPr>
        <w:t>；其中，</w:t>
      </w:r>
      <w:r>
        <w:rPr>
          <w:rFonts w:hint="eastAsia"/>
          <w:spacing w:val="-4"/>
          <w:szCs w:val="20"/>
        </w:rPr>
        <w:t>拉美降幅较前4个月收窄4.2个百分点，中东降幅扩大7.9个百分点。</w:t>
      </w:r>
    </w:p>
    <w:p>
      <w:pPr>
        <w:pStyle w:val="124"/>
        <w:adjustRightInd/>
        <w:snapToGrid w:val="0"/>
        <w:spacing w:line="560" w:lineRule="exact"/>
        <w:ind w:firstLineChars="200" w:firstLine="632"/>
        <w:contextualSpacing w:val="0"/>
        <w:rPr>
          <w:rFonts w:eastAsia="方正黑体_GBK"/>
          <w:bCs/>
          <w:spacing w:val="0"/>
          <w:sz w:val="32"/>
          <w:szCs w:val="32"/>
        </w:rPr>
      </w:pPr>
      <w:r>
        <w:rPr>
          <w:rFonts w:eastAsia="方正黑体_GBK"/>
          <w:bCs/>
          <w:spacing w:val="0"/>
          <w:sz w:val="32"/>
          <w:szCs w:val="32"/>
        </w:rPr>
        <w:t>三</w:t>
      </w:r>
      <w:r>
        <w:rPr>
          <w:rFonts w:eastAsia="方正黑体_GBK" w:hint="eastAsia"/>
          <w:bCs/>
          <w:spacing w:val="0"/>
          <w:sz w:val="32"/>
          <w:szCs w:val="32"/>
        </w:rPr>
        <w:t>、</w:t>
      </w:r>
      <w:r>
        <w:rPr>
          <w:rFonts w:eastAsia="方正黑体_GBK"/>
          <w:bCs/>
          <w:spacing w:val="0"/>
          <w:sz w:val="32"/>
          <w:szCs w:val="32"/>
        </w:rPr>
        <w:t>三区四</w:t>
      </w:r>
      <w:r>
        <w:rPr>
          <w:rFonts w:ascii="方正黑体_GBK" w:eastAsia="方正黑体_GBK" w:hint="eastAsia"/>
          <w:b/>
          <w:bCs/>
          <w:sz w:val="32"/>
          <w:szCs w:val="32"/>
        </w:rPr>
        <w:t>市</w:t>
      </w:r>
      <w:r>
        <w:rPr>
          <w:rFonts w:eastAsia="方正黑体_GBK"/>
          <w:bCs/>
          <w:spacing w:val="0"/>
          <w:sz w:val="32"/>
          <w:szCs w:val="32"/>
        </w:rPr>
        <w:t>进出口情况</w:t>
      </w:r>
    </w:p>
    <w:p>
      <w:pPr>
        <w:pStyle w:val="124"/>
        <w:adjustRightInd/>
        <w:snapToGrid w:val="0"/>
        <w:spacing w:line="560" w:lineRule="exact"/>
        <w:ind w:firstLineChars="200" w:firstLine="616"/>
        <w:contextualSpacing w:val="0"/>
      </w:pPr>
      <w:r>
        <w:rPr>
          <w:rFonts w:ascii="Times New Roman" w:eastAsia="方正仿宋_GBK" w:hAnsi="Times New Roman" w:hint="eastAsia"/>
          <w:spacing w:val="-4"/>
          <w:sz w:val="32"/>
          <w:szCs w:val="20"/>
        </w:rPr>
        <w:t>前</w:t>
      </w:r>
      <w:r>
        <w:rPr>
          <w:rFonts w:ascii="Times New Roman" w:eastAsia="方正仿宋_GBK" w:hAnsi="Times New Roman"/>
          <w:spacing w:val="-4"/>
          <w:sz w:val="32"/>
          <w:szCs w:val="20"/>
        </w:rPr>
        <w:t>5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个月，我市三区四市进出口整体实现正增长，江海区、恩平市进出口增速突破6%。出口端</w:t>
      </w:r>
      <w:r>
        <w:rPr>
          <w:rFonts w:ascii="Times New Roman" w:eastAsia="方正仿宋_GBK" w:hAnsi="Times New Roman"/>
          <w:spacing w:val="-4"/>
          <w:sz w:val="32"/>
          <w:szCs w:val="20"/>
        </w:rPr>
        <w:t>多数增长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，江海区、新会区拉动作用突出，合计拉高全市出口增速4.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3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个百分点；蓬江区出口下降1.7%，是唯一出口下降的区市。进口端涨落分明，蓬江区、台山市、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鹤山市、</w:t>
      </w:r>
      <w:r>
        <w:rPr>
          <w:rFonts w:ascii="Times New Roman" w:eastAsia="方正仿宋_GBK" w:hAnsi="Times New Roman" w:hint="eastAsia"/>
          <w:spacing w:val="-4"/>
          <w:sz w:val="32"/>
          <w:szCs w:val="20"/>
        </w:rPr>
        <w:t>恩平市保持两位数增长；新会区、开平市下降较快，合计拖累全市进口增速6.5个百分点。</w:t>
      </w:r>
      <w:bookmarkStart w:id="1" w:name="_GoBack"/>
      <w:bookmarkEnd w:id="1"/>
    </w:p>
    <w:sectPr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3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6">
    <w:name w:val="index 6"/>
    <w:basedOn w:val="0"/>
    <w:autoRedefine/>
    <w:next w:val="0"/>
    <w:pPr>
      <w:ind w:left="210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38">
    <w:name w:val="envelope return"/>
    <w:basedOn w:val="0"/>
    <w:pPr>
      <w:snapToGrid w:val="0"/>
    </w:pPr>
    <w:rPr>
      <w:rFonts w:ascii="Arial" w:hAnsi="Arial"/>
    </w:rPr>
  </w:style>
  <w:style w:type="paragraph" w:customStyle="1" w:styleId="123">
    <w:name w:val="样式 三号"/>
    <w:next w:val="32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24">
    <w:name w:val="样式 40 10 磅"/>
    <w:next w:val="1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Calibri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25">
    <w:name w:val="样式 10 磅"/>
    <w:next w:val="38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26">
    <w:name w:val="样式 1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27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4"/>
      <w:lang w:val="en-US" w:eastAsia="zh-CN" w:bidi="ar-SA"/>
    </w:rPr>
  </w:style>
  <w:style w:type="paragraph" w:customStyle="1" w:styleId="128">
    <w:name w:val="样式 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Calibri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65</TotalTime>
  <Application>Yozo_Office</Application>
  <Pages>2</Pages>
  <Words>770</Words>
  <Characters>855</Characters>
  <Lines>34</Lines>
  <Paragraphs>8</Paragraphs>
  <CharactersWithSpaces>855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廖蔚</dc:creator>
  <cp:lastModifiedBy>廖蔚</cp:lastModifiedBy>
  <cp:revision>1</cp:revision>
  <dcterms:created xsi:type="dcterms:W3CDTF">2026-06-15T08:21:52Z</dcterms:created>
  <dcterms:modified xsi:type="dcterms:W3CDTF">2026-06-15T09:27:22Z</dcterms:modified>
</cp:coreProperties>
</file>