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0B" w:rsidRDefault="00C1481B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前8个月深圳市手机出口</w:t>
      </w:r>
      <w:r w:rsidR="00C530BC">
        <w:rPr>
          <w:rFonts w:ascii="方正小标宋_GBK" w:eastAsia="方正小标宋_GBK" w:hint="eastAsia"/>
          <w:sz w:val="44"/>
          <w:szCs w:val="44"/>
        </w:rPr>
        <w:t>情况</w:t>
      </w:r>
    </w:p>
    <w:p w:rsidR="0064070B" w:rsidRDefault="0064070B">
      <w:pPr>
        <w:spacing w:line="560" w:lineRule="exact"/>
        <w:jc w:val="center"/>
        <w:rPr>
          <w:rFonts w:ascii="方正仿宋_GBK" w:eastAsia="方正仿宋_GBK"/>
          <w:sz w:val="32"/>
          <w:szCs w:val="32"/>
        </w:rPr>
      </w:pPr>
    </w:p>
    <w:p w:rsidR="0064070B" w:rsidRDefault="00C1481B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28"/>
        </w:rPr>
      </w:pPr>
      <w:r>
        <w:rPr>
          <w:rFonts w:ascii="Times New Roman" w:eastAsia="方正仿宋_GBK" w:hAnsi="Times New Roman" w:cs="Times New Roman"/>
          <w:sz w:val="32"/>
          <w:szCs w:val="28"/>
        </w:rPr>
        <w:t>据海关统计，</w:t>
      </w:r>
      <w:r>
        <w:rPr>
          <w:rFonts w:ascii="Times New Roman" w:eastAsia="方正仿宋_GBK" w:hAnsi="Times New Roman" w:cs="Times New Roman"/>
          <w:sz w:val="32"/>
          <w:szCs w:val="28"/>
        </w:rPr>
        <w:t>2026</w:t>
      </w:r>
      <w:r>
        <w:rPr>
          <w:rFonts w:ascii="Times New Roman" w:eastAsia="方正仿宋_GBK" w:hAnsi="Times New Roman" w:cs="Times New Roman"/>
          <w:sz w:val="32"/>
          <w:szCs w:val="28"/>
        </w:rPr>
        <w:t>年前</w:t>
      </w:r>
      <w:r>
        <w:rPr>
          <w:rFonts w:ascii="Times New Roman" w:eastAsia="方正仿宋_GBK" w:hAnsi="Times New Roman" w:cs="Times New Roman"/>
          <w:sz w:val="32"/>
          <w:szCs w:val="28"/>
        </w:rPr>
        <w:t>8</w:t>
      </w:r>
      <w:r>
        <w:rPr>
          <w:rFonts w:ascii="Times New Roman" w:eastAsia="方正仿宋_GBK" w:hAnsi="Times New Roman" w:cs="Times New Roman"/>
          <w:sz w:val="32"/>
          <w:szCs w:val="28"/>
        </w:rPr>
        <w:t>个月，深圳市手机出口</w:t>
      </w:r>
      <w:r>
        <w:rPr>
          <w:rFonts w:ascii="Times New Roman" w:eastAsia="方正仿宋_GBK" w:hAnsi="Times New Roman" w:cs="Times New Roman"/>
          <w:sz w:val="32"/>
          <w:szCs w:val="28"/>
        </w:rPr>
        <w:t>925.3</w:t>
      </w:r>
      <w:r>
        <w:rPr>
          <w:rFonts w:ascii="Times New Roman" w:eastAsia="方正仿宋_GBK" w:hAnsi="Times New Roman" w:cs="Times New Roman"/>
          <w:sz w:val="32"/>
          <w:szCs w:val="28"/>
        </w:rPr>
        <w:t>亿元，同比（下同）增长</w:t>
      </w:r>
      <w:r>
        <w:rPr>
          <w:rFonts w:ascii="Times New Roman" w:eastAsia="方正仿宋_GBK" w:hAnsi="Times New Roman" w:cs="Times New Roman"/>
          <w:sz w:val="32"/>
          <w:szCs w:val="28"/>
        </w:rPr>
        <w:t>13.1%</w:t>
      </w:r>
      <w:r>
        <w:rPr>
          <w:rFonts w:ascii="Times New Roman" w:eastAsia="方正仿宋_GBK" w:hAnsi="Times New Roman" w:cs="Times New Roman"/>
          <w:sz w:val="32"/>
          <w:szCs w:val="28"/>
        </w:rPr>
        <w:t>；出口数量</w:t>
      </w:r>
      <w:r>
        <w:rPr>
          <w:rFonts w:ascii="Times New Roman" w:eastAsia="方正仿宋_GBK" w:hAnsi="Times New Roman" w:cs="Times New Roman"/>
          <w:sz w:val="32"/>
          <w:szCs w:val="28"/>
        </w:rPr>
        <w:t>9875.3</w:t>
      </w:r>
      <w:r>
        <w:rPr>
          <w:rFonts w:ascii="Times New Roman" w:eastAsia="方正仿宋_GBK" w:hAnsi="Times New Roman" w:cs="Times New Roman"/>
          <w:sz w:val="32"/>
          <w:szCs w:val="28"/>
        </w:rPr>
        <w:t>万台，增加</w:t>
      </w:r>
      <w:r>
        <w:rPr>
          <w:rFonts w:ascii="Times New Roman" w:eastAsia="方正仿宋_GBK" w:hAnsi="Times New Roman" w:cs="Times New Roman"/>
          <w:sz w:val="32"/>
          <w:szCs w:val="28"/>
        </w:rPr>
        <w:t>8.5%</w:t>
      </w:r>
      <w:r>
        <w:rPr>
          <w:rFonts w:ascii="Times New Roman" w:eastAsia="方正仿宋_GBK" w:hAnsi="Times New Roman" w:cs="Times New Roman"/>
          <w:sz w:val="32"/>
          <w:szCs w:val="28"/>
        </w:rPr>
        <w:t>；均价为每台</w:t>
      </w:r>
      <w:r>
        <w:rPr>
          <w:rFonts w:ascii="Times New Roman" w:eastAsia="方正仿宋_GBK" w:hAnsi="Times New Roman" w:cs="Times New Roman"/>
          <w:sz w:val="32"/>
          <w:szCs w:val="28"/>
        </w:rPr>
        <w:t>937</w:t>
      </w:r>
      <w:r>
        <w:rPr>
          <w:rFonts w:ascii="Times New Roman" w:eastAsia="方正仿宋_GBK" w:hAnsi="Times New Roman" w:cs="Times New Roman"/>
          <w:sz w:val="32"/>
          <w:szCs w:val="28"/>
        </w:rPr>
        <w:t>元，</w:t>
      </w:r>
      <w:r w:rsidR="00C302E7">
        <w:rPr>
          <w:rFonts w:ascii="Times New Roman" w:eastAsia="方正仿宋_GBK" w:hAnsi="Times New Roman" w:cs="Times New Roman" w:hint="eastAsia"/>
          <w:sz w:val="32"/>
          <w:szCs w:val="28"/>
        </w:rPr>
        <w:t>上涨</w:t>
      </w:r>
      <w:r>
        <w:rPr>
          <w:rFonts w:ascii="Times New Roman" w:eastAsia="方正仿宋_GBK" w:hAnsi="Times New Roman" w:cs="Times New Roman"/>
          <w:sz w:val="32"/>
          <w:szCs w:val="28"/>
        </w:rPr>
        <w:t>4.3%</w:t>
      </w:r>
      <w:r>
        <w:rPr>
          <w:rFonts w:ascii="Times New Roman" w:eastAsia="方正仿宋_GBK" w:hAnsi="Times New Roman" w:cs="Times New Roman"/>
          <w:sz w:val="32"/>
          <w:szCs w:val="28"/>
        </w:rPr>
        <w:t>。主要呈现以下特点：</w:t>
      </w:r>
    </w:p>
    <w:p w:rsidR="0064070B" w:rsidRDefault="00C1481B" w:rsidP="008D7CBE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楷体_GBK" w:eastAsia="方正楷体_GBK"/>
          <w:b/>
          <w:sz w:val="32"/>
          <w:szCs w:val="32"/>
        </w:rPr>
        <w:t>一是</w:t>
      </w:r>
      <w:r>
        <w:rPr>
          <w:rFonts w:ascii="方正楷体_GBK" w:eastAsia="方正楷体_GBK" w:hint="eastAsia"/>
          <w:b/>
          <w:sz w:val="32"/>
          <w:szCs w:val="32"/>
        </w:rPr>
        <w:t>一</w:t>
      </w:r>
      <w:proofErr w:type="gramStart"/>
      <w:r>
        <w:rPr>
          <w:rFonts w:ascii="方正楷体_GBK" w:eastAsia="方正楷体_GBK" w:hint="eastAsia"/>
          <w:b/>
          <w:sz w:val="32"/>
          <w:szCs w:val="32"/>
        </w:rPr>
        <w:t>般贸易</w:t>
      </w:r>
      <w:proofErr w:type="gramEnd"/>
      <w:r>
        <w:rPr>
          <w:rFonts w:ascii="方正楷体_GBK" w:eastAsia="方正楷体_GBK" w:hint="eastAsia"/>
          <w:b/>
          <w:sz w:val="32"/>
          <w:szCs w:val="32"/>
        </w:rPr>
        <w:t>占比</w:t>
      </w:r>
      <w:r>
        <w:rPr>
          <w:rFonts w:ascii="方正楷体_GBK" w:eastAsia="方正楷体_GBK"/>
          <w:b/>
          <w:sz w:val="32"/>
          <w:szCs w:val="32"/>
        </w:rPr>
        <w:t>五</w:t>
      </w:r>
      <w:r>
        <w:rPr>
          <w:rFonts w:ascii="方正楷体_GBK" w:eastAsia="方正楷体_GBK" w:hint="eastAsia"/>
          <w:b/>
          <w:sz w:val="32"/>
          <w:szCs w:val="32"/>
        </w:rPr>
        <w:t>成，加工贸易小幅增长。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前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个月</w:t>
      </w:r>
      <w:r>
        <w:rPr>
          <w:rFonts w:ascii="Times New Roman" w:eastAsia="方正仿宋_GBK" w:hAnsi="Times New Roman" w:cs="Times New Roman"/>
          <w:sz w:val="32"/>
          <w:szCs w:val="32"/>
        </w:rPr>
        <w:t>，深圳市以一般贸易方式出口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462.3</w:t>
      </w:r>
      <w:r>
        <w:rPr>
          <w:rFonts w:ascii="Times New Roman" w:eastAsia="方正仿宋_GBK" w:hAnsi="Times New Roman" w:cs="Times New Roman"/>
          <w:sz w:val="32"/>
          <w:szCs w:val="32"/>
        </w:rPr>
        <w:t>亿元，增长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24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，占</w:t>
      </w:r>
      <w:r w:rsidR="00C302E7">
        <w:rPr>
          <w:rFonts w:ascii="Times New Roman" w:eastAsia="方正仿宋_GBK" w:hAnsi="Times New Roman" w:cs="Times New Roman" w:hint="eastAsia"/>
          <w:sz w:val="32"/>
          <w:szCs w:val="32"/>
        </w:rPr>
        <w:t>同期深圳市手机出口总值的（下同）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50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。同期，以加工贸易方式出口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421.8</w:t>
      </w:r>
      <w:r>
        <w:rPr>
          <w:rFonts w:ascii="Times New Roman" w:eastAsia="方正仿宋_GBK" w:hAnsi="Times New Roman" w:cs="Times New Roman"/>
          <w:sz w:val="32"/>
          <w:szCs w:val="32"/>
        </w:rPr>
        <w:t>亿元，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2.6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，占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45.6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；以保税物流方式出口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41.2</w:t>
      </w:r>
      <w:r>
        <w:rPr>
          <w:rFonts w:ascii="Times New Roman" w:eastAsia="方正仿宋_GBK" w:hAnsi="Times New Roman" w:cs="Times New Roman"/>
          <w:sz w:val="32"/>
          <w:szCs w:val="32"/>
        </w:rPr>
        <w:t>亿元，增长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23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64070B" w:rsidRDefault="00C1481B" w:rsidP="008D7CBE">
      <w:pPr>
        <w:spacing w:line="560" w:lineRule="exact"/>
        <w:ind w:firstLineChars="200" w:firstLine="643"/>
        <w:rPr>
          <w:rFonts w:ascii="Times New Roman" w:eastAsia="方正仿宋_GBK" w:hAnsi="Times New Roman" w:cs="Times New Roman" w:hint="eastAsia"/>
          <w:sz w:val="32"/>
          <w:szCs w:val="32"/>
        </w:rPr>
      </w:pPr>
      <w:r>
        <w:rPr>
          <w:rFonts w:ascii="方正楷体_GBK" w:eastAsia="方正楷体_GBK"/>
          <w:b/>
          <w:sz w:val="32"/>
          <w:szCs w:val="32"/>
        </w:rPr>
        <w:t>二是</w:t>
      </w:r>
      <w:r w:rsidR="009F0AC6">
        <w:rPr>
          <w:rFonts w:ascii="方正楷体_GBK" w:eastAsia="方正楷体_GBK" w:hint="eastAsia"/>
          <w:b/>
          <w:sz w:val="32"/>
          <w:szCs w:val="32"/>
        </w:rPr>
        <w:t>香港地区</w:t>
      </w:r>
      <w:r>
        <w:rPr>
          <w:rFonts w:ascii="方正楷体_GBK" w:eastAsia="方正楷体_GBK" w:hint="eastAsia"/>
          <w:b/>
          <w:sz w:val="32"/>
          <w:szCs w:val="32"/>
        </w:rPr>
        <w:t>占主要地位，</w:t>
      </w:r>
      <w:r w:rsidR="009F0AC6">
        <w:rPr>
          <w:rFonts w:ascii="方正楷体_GBK" w:eastAsia="方正楷体_GBK" w:hint="eastAsia"/>
          <w:b/>
          <w:sz w:val="32"/>
          <w:szCs w:val="32"/>
        </w:rPr>
        <w:t>部分</w:t>
      </w:r>
      <w:r>
        <w:rPr>
          <w:rFonts w:ascii="方正楷体_GBK" w:eastAsia="方正楷体_GBK" w:hint="eastAsia"/>
          <w:b/>
          <w:sz w:val="32"/>
          <w:szCs w:val="32"/>
        </w:rPr>
        <w:t>新兴市场</w:t>
      </w:r>
      <w:r w:rsidR="009F0AC6">
        <w:rPr>
          <w:rFonts w:ascii="方正楷体_GBK" w:eastAsia="方正楷体_GBK" w:hint="eastAsia"/>
          <w:b/>
          <w:sz w:val="32"/>
          <w:szCs w:val="32"/>
        </w:rPr>
        <w:t>增速较快</w:t>
      </w:r>
      <w:r>
        <w:rPr>
          <w:rFonts w:ascii="方正楷体_GBK" w:eastAsia="方正楷体_GBK" w:hint="eastAsia"/>
          <w:b/>
          <w:sz w:val="32"/>
          <w:szCs w:val="32"/>
        </w:rPr>
        <w:t>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前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个月</w:t>
      </w:r>
      <w:r>
        <w:rPr>
          <w:rFonts w:ascii="Times New Roman" w:eastAsia="方正仿宋_GBK" w:hAnsi="Times New Roman" w:cs="Times New Roman"/>
          <w:sz w:val="32"/>
          <w:szCs w:val="32"/>
        </w:rPr>
        <w:t>，深圳市对香港地区出口手机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520</w:t>
      </w:r>
      <w:r>
        <w:rPr>
          <w:rFonts w:ascii="Times New Roman" w:eastAsia="方正仿宋_GBK" w:hAnsi="Times New Roman" w:cs="Times New Roman"/>
          <w:sz w:val="32"/>
          <w:szCs w:val="32"/>
        </w:rPr>
        <w:t>亿元，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，占同期深圳市手机出口总值的（下同）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56.2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。同期，对东盟、阿联酋、欧盟分别出口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57.6</w:t>
      </w:r>
      <w:r>
        <w:rPr>
          <w:rFonts w:ascii="Times New Roman" w:eastAsia="方正仿宋_GBK" w:hAnsi="Times New Roman" w:cs="Times New Roman"/>
          <w:sz w:val="32"/>
          <w:szCs w:val="32"/>
        </w:rPr>
        <w:t>亿元、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46.7</w:t>
      </w:r>
      <w:r>
        <w:rPr>
          <w:rFonts w:ascii="Times New Roman" w:eastAsia="方正仿宋_GBK" w:hAnsi="Times New Roman" w:cs="Times New Roman"/>
          <w:sz w:val="32"/>
          <w:szCs w:val="32"/>
        </w:rPr>
        <w:t>亿元、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43.2</w:t>
      </w:r>
      <w:r>
        <w:rPr>
          <w:rFonts w:ascii="Times New Roman" w:eastAsia="方正仿宋_GBK" w:hAnsi="Times New Roman" w:cs="Times New Roman"/>
          <w:sz w:val="32"/>
          <w:szCs w:val="32"/>
        </w:rPr>
        <w:t>亿元，增长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48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7.3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26.8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，合计占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15.9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。此外，对拉美</w:t>
      </w:r>
      <w:r w:rsidR="007D5900">
        <w:rPr>
          <w:rFonts w:ascii="Times New Roman" w:eastAsia="方正仿宋_GBK" w:hAnsi="Times New Roman" w:cs="Times New Roman" w:hint="eastAsia"/>
          <w:sz w:val="32"/>
          <w:szCs w:val="32"/>
        </w:rPr>
        <w:t>地区</w:t>
      </w:r>
      <w:r>
        <w:rPr>
          <w:rFonts w:ascii="Times New Roman" w:eastAsia="方正仿宋_GBK" w:hAnsi="Times New Roman" w:cs="Times New Roman"/>
          <w:sz w:val="32"/>
          <w:szCs w:val="32"/>
        </w:rPr>
        <w:t>和非洲分别出口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84.7</w:t>
      </w:r>
      <w:r>
        <w:rPr>
          <w:rFonts w:ascii="Times New Roman" w:eastAsia="方正仿宋_GBK" w:hAnsi="Times New Roman" w:cs="Times New Roman"/>
          <w:sz w:val="32"/>
          <w:szCs w:val="32"/>
        </w:rPr>
        <w:t>亿元、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30.9</w:t>
      </w:r>
      <w:r>
        <w:rPr>
          <w:rFonts w:ascii="Times New Roman" w:eastAsia="方正仿宋_GBK" w:hAnsi="Times New Roman" w:cs="Times New Roman"/>
          <w:sz w:val="32"/>
          <w:szCs w:val="32"/>
        </w:rPr>
        <w:t>亿元，分别增长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26.4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55.3</w:t>
      </w:r>
      <w:r>
        <w:rPr>
          <w:rFonts w:ascii="Times New Roman" w:eastAsia="方正仿宋_GBK" w:hAnsi="Times New Roman" w:cs="Times New Roman"/>
          <w:sz w:val="32"/>
          <w:szCs w:val="32"/>
        </w:rPr>
        <w:t>%</w:t>
      </w:r>
      <w:r>
        <w:rPr>
          <w:rFonts w:ascii="Times New Roman" w:eastAsia="方正仿宋_GBK" w:hAnsi="Times New Roman" w:cs="Times New Roman"/>
          <w:sz w:val="32"/>
          <w:szCs w:val="32"/>
        </w:rPr>
        <w:t>。</w:t>
      </w:r>
      <w:r w:rsidR="007D5900">
        <w:rPr>
          <w:rFonts w:ascii="Times New Roman" w:eastAsia="方正仿宋_GBK" w:hAnsi="Times New Roman" w:cs="Times New Roman" w:hint="eastAsia"/>
          <w:sz w:val="32"/>
          <w:szCs w:val="32"/>
        </w:rPr>
        <w:t>对俄罗斯出口增长较快，出口</w:t>
      </w:r>
      <w:r w:rsidR="007D5900">
        <w:rPr>
          <w:rFonts w:ascii="Times New Roman" w:eastAsia="方正仿宋_GBK" w:hAnsi="Times New Roman" w:cs="Times New Roman" w:hint="eastAsia"/>
          <w:sz w:val="32"/>
          <w:szCs w:val="32"/>
        </w:rPr>
        <w:t>42.8</w:t>
      </w:r>
      <w:r w:rsidR="007D5900">
        <w:rPr>
          <w:rFonts w:ascii="Times New Roman" w:eastAsia="方正仿宋_GBK" w:hAnsi="Times New Roman" w:cs="Times New Roman" w:hint="eastAsia"/>
          <w:sz w:val="32"/>
          <w:szCs w:val="32"/>
        </w:rPr>
        <w:t>亿元，增长</w:t>
      </w:r>
      <w:r w:rsidR="007D5900">
        <w:rPr>
          <w:rFonts w:ascii="Times New Roman" w:eastAsia="方正仿宋_GBK" w:hAnsi="Times New Roman" w:cs="Times New Roman" w:hint="eastAsia"/>
          <w:sz w:val="32"/>
          <w:szCs w:val="32"/>
        </w:rPr>
        <w:t>95.4%</w:t>
      </w:r>
      <w:r w:rsidR="007D5900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DF0725" w:rsidRDefault="00DF0725" w:rsidP="00DF0725">
      <w:pPr>
        <w:pStyle w:val="1810"/>
        <w:adjustRightInd w:val="0"/>
        <w:snapToGrid w:val="0"/>
        <w:spacing w:beforeLines="50" w:before="156" w:afterLines="50" w:after="156" w:line="400" w:lineRule="exact"/>
        <w:jc w:val="center"/>
        <w:rPr>
          <w:rFonts w:ascii="方正黑体_GBK" w:eastAsia="方正黑体_GBK"/>
          <w:sz w:val="28"/>
        </w:rPr>
      </w:pPr>
      <w:r>
        <w:rPr>
          <w:rFonts w:ascii="方正黑体_GBK" w:eastAsia="方正黑体_GBK" w:hint="eastAsia"/>
          <w:sz w:val="28"/>
        </w:rPr>
        <w:t>2026年</w:t>
      </w:r>
      <w:r w:rsidRPr="00F83D28">
        <w:rPr>
          <w:rFonts w:ascii="方正黑体_GBK" w:eastAsia="方正黑体_GBK" w:hint="eastAsia"/>
          <w:sz w:val="28"/>
        </w:rPr>
        <w:t>前</w:t>
      </w:r>
      <w:r>
        <w:rPr>
          <w:rFonts w:ascii="方正黑体_GBK" w:eastAsia="方正黑体_GBK" w:hint="eastAsia"/>
          <w:sz w:val="28"/>
        </w:rPr>
        <w:t>8</w:t>
      </w:r>
      <w:r w:rsidRPr="00F83D28">
        <w:rPr>
          <w:rFonts w:ascii="方正黑体_GBK" w:eastAsia="方正黑体_GBK" w:hint="eastAsia"/>
          <w:sz w:val="28"/>
        </w:rPr>
        <w:t>个月</w:t>
      </w:r>
      <w:r>
        <w:rPr>
          <w:rFonts w:ascii="方正黑体_GBK" w:eastAsia="方正黑体_GBK" w:hint="eastAsia"/>
          <w:sz w:val="28"/>
        </w:rPr>
        <w:t>深圳市</w:t>
      </w:r>
      <w:r>
        <w:rPr>
          <w:rFonts w:ascii="方正黑体_GBK" w:eastAsia="方正黑体_GBK" w:hint="eastAsia"/>
          <w:sz w:val="28"/>
        </w:rPr>
        <w:t>手机出口主要市场</w:t>
      </w:r>
      <w:r>
        <w:rPr>
          <w:rFonts w:ascii="方正黑体_GBK" w:eastAsia="方正黑体_GBK" w:hint="eastAsia"/>
          <w:sz w:val="28"/>
        </w:rPr>
        <w:t>情况表</w:t>
      </w:r>
    </w:p>
    <w:p w:rsidR="00DF0725" w:rsidRDefault="00DF0725" w:rsidP="00DF0725">
      <w:pPr>
        <w:pStyle w:val="1810"/>
        <w:adjustRightInd w:val="0"/>
        <w:snapToGrid w:val="0"/>
        <w:spacing w:line="400" w:lineRule="exact"/>
        <w:jc w:val="right"/>
        <w:rPr>
          <w:rFonts w:eastAsia="方正黑体_GBK"/>
          <w:sz w:val="24"/>
          <w:szCs w:val="24"/>
        </w:rPr>
      </w:pPr>
      <w:r>
        <w:rPr>
          <w:rFonts w:hint="eastAsia"/>
          <w:bCs/>
          <w:sz w:val="24"/>
          <w:szCs w:val="24"/>
        </w:rPr>
        <w:t>单位：亿元人民币，</w:t>
      </w:r>
      <w:r>
        <w:rPr>
          <w:bCs/>
          <w:sz w:val="24"/>
          <w:szCs w:val="24"/>
        </w:rPr>
        <w:t>%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%</w:t>
      </w:r>
    </w:p>
    <w:tbl>
      <w:tblPr>
        <w:tblW w:w="3063" w:type="pct"/>
        <w:jc w:val="center"/>
        <w:tbl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737"/>
        <w:gridCol w:w="1566"/>
        <w:gridCol w:w="970"/>
        <w:gridCol w:w="948"/>
      </w:tblGrid>
      <w:tr w:rsidR="00DF0725" w:rsidTr="007B7699">
        <w:trPr>
          <w:trHeight w:val="315"/>
          <w:jc w:val="center"/>
        </w:trPr>
        <w:tc>
          <w:tcPr>
            <w:tcW w:w="1663" w:type="pct"/>
            <w:vMerge w:val="restart"/>
            <w:tcBorders>
              <w:top w:val="single" w:sz="8" w:space="0" w:color="CCE8CF"/>
              <w:left w:val="single" w:sz="8" w:space="0" w:color="CCE8CF"/>
              <w:bottom w:val="nil"/>
              <w:right w:val="single" w:sz="8" w:space="0" w:color="CCE8CF"/>
            </w:tcBorders>
            <w:shd w:val="clear" w:color="auto" w:fill="4BACC6"/>
            <w:vAlign w:val="center"/>
            <w:hideMark/>
          </w:tcPr>
          <w:p w:rsidR="00DF0725" w:rsidRDefault="00DF0725" w:rsidP="007B7699">
            <w:pPr>
              <w:pStyle w:val="181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贸易伙伴</w:t>
            </w:r>
          </w:p>
        </w:tc>
        <w:tc>
          <w:tcPr>
            <w:tcW w:w="3337" w:type="pct"/>
            <w:gridSpan w:val="3"/>
            <w:tcBorders>
              <w:top w:val="single" w:sz="8" w:space="0" w:color="CCE8CF"/>
              <w:left w:val="single" w:sz="8" w:space="0" w:color="CCE8CF"/>
              <w:bottom w:val="single" w:sz="24" w:space="0" w:color="CCE8CF"/>
              <w:right w:val="single" w:sz="8" w:space="0" w:color="CCE8CF"/>
            </w:tcBorders>
            <w:shd w:val="clear" w:color="auto" w:fill="4BACC6"/>
            <w:hideMark/>
          </w:tcPr>
          <w:p w:rsidR="00DF0725" w:rsidRPr="00DF0725" w:rsidRDefault="00DF0725" w:rsidP="00DF0725">
            <w:pPr>
              <w:pStyle w:val="1810"/>
              <w:jc w:val="center"/>
              <w:rPr>
                <w:b/>
                <w:bCs/>
                <w:color w:val="000000"/>
                <w:sz w:val="22"/>
                <w:szCs w:val="20"/>
              </w:rPr>
            </w:pPr>
            <w:r w:rsidRPr="00DF0725">
              <w:rPr>
                <w:b/>
                <w:bCs/>
                <w:color w:val="000000"/>
                <w:sz w:val="22"/>
                <w:szCs w:val="20"/>
              </w:rPr>
              <w:t>2</w:t>
            </w:r>
            <w:r>
              <w:rPr>
                <w:b/>
                <w:bCs/>
                <w:color w:val="000000"/>
                <w:sz w:val="22"/>
                <w:szCs w:val="20"/>
              </w:rPr>
              <w:t>02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6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年前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8</w:t>
            </w:r>
            <w:r>
              <w:rPr>
                <w:rFonts w:hint="eastAsia"/>
                <w:b/>
                <w:bCs/>
                <w:color w:val="000000"/>
                <w:sz w:val="22"/>
                <w:szCs w:val="20"/>
              </w:rPr>
              <w:t>个月</w:t>
            </w:r>
          </w:p>
        </w:tc>
      </w:tr>
      <w:tr w:rsidR="00DF0725" w:rsidTr="007B7699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CCE8CF"/>
              <w:left w:val="single" w:sz="8" w:space="0" w:color="CCE8CF"/>
              <w:bottom w:val="nil"/>
              <w:right w:val="single" w:sz="8" w:space="0" w:color="CCE8CF"/>
            </w:tcBorders>
            <w:vAlign w:val="center"/>
            <w:hideMark/>
          </w:tcPr>
          <w:p w:rsidR="00DF0725" w:rsidRDefault="00DF0725" w:rsidP="007B7699">
            <w:pPr>
              <w:widowControl/>
              <w:jc w:val="lef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DF0725" w:rsidRDefault="00DF0725" w:rsidP="007B7699">
            <w:pPr>
              <w:pStyle w:val="181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进出口值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DF0725" w:rsidRDefault="00DF0725" w:rsidP="007B7699">
            <w:pPr>
              <w:pStyle w:val="181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同比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A5D5E2"/>
            <w:hideMark/>
          </w:tcPr>
          <w:p w:rsidR="00DF0725" w:rsidRDefault="00DF0725" w:rsidP="007B7699">
            <w:pPr>
              <w:pStyle w:val="181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占比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中国香港地区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520.0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1.0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56.2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东盟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57.6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48.0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6.2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阿联酋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46.7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7.3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5.0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欧盟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43.2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26.8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4.7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俄罗斯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42.8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95.4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4.6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lastRenderedPageBreak/>
              <w:t>墨西哥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20.7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8.2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2.2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巴拿马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19.0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1113.5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2.0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美国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18.6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6.0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2.0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8" w:space="0" w:color="CCE8CF"/>
              <w:left w:val="single" w:sz="8" w:space="0" w:color="CCE8CF"/>
              <w:bottom w:val="nil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南非</w:t>
            </w:r>
          </w:p>
        </w:tc>
        <w:tc>
          <w:tcPr>
            <w:tcW w:w="1500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16.9 </w:t>
            </w:r>
          </w:p>
        </w:tc>
        <w:tc>
          <w:tcPr>
            <w:tcW w:w="929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48.1 </w:t>
            </w:r>
          </w:p>
        </w:tc>
        <w:tc>
          <w:tcPr>
            <w:tcW w:w="908" w:type="pct"/>
            <w:tcBorders>
              <w:top w:val="single" w:sz="8" w:space="0" w:color="CCE8CF"/>
              <w:left w:val="single" w:sz="8" w:space="0" w:color="CCE8CF"/>
              <w:bottom w:val="single" w:sz="8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1.8 </w:t>
            </w:r>
          </w:p>
        </w:tc>
      </w:tr>
      <w:tr w:rsidR="00DF0725" w:rsidTr="007B7699">
        <w:trPr>
          <w:trHeight w:hRule="exact" w:val="397"/>
          <w:jc w:val="center"/>
        </w:trPr>
        <w:tc>
          <w:tcPr>
            <w:tcW w:w="1663" w:type="pct"/>
            <w:tcBorders>
              <w:top w:val="single" w:sz="6" w:space="0" w:color="CCE8CF"/>
              <w:left w:val="single" w:sz="8" w:space="0" w:color="CCE8CF"/>
              <w:bottom w:val="single" w:sz="6" w:space="0" w:color="CCE8CF"/>
              <w:right w:val="single" w:sz="24" w:space="0" w:color="CCE8CF"/>
            </w:tcBorders>
            <w:shd w:val="clear" w:color="auto" w:fill="4BACC6"/>
            <w:vAlign w:val="center"/>
            <w:hideMark/>
          </w:tcPr>
          <w:p w:rsidR="00DF0725" w:rsidRPr="003E2632" w:rsidRDefault="00DF0725" w:rsidP="007B7699">
            <w:pPr>
              <w:widowControl/>
              <w:adjustRightInd w:val="0"/>
              <w:snapToGrid w:val="0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kern w:val="0"/>
                <w:sz w:val="24"/>
                <w:szCs w:val="24"/>
              </w:rPr>
              <w:t>智利</w:t>
            </w:r>
          </w:p>
        </w:tc>
        <w:tc>
          <w:tcPr>
            <w:tcW w:w="1500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12.2 </w:t>
            </w:r>
          </w:p>
        </w:tc>
        <w:tc>
          <w:tcPr>
            <w:tcW w:w="929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6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40.4 </w:t>
            </w:r>
          </w:p>
        </w:tc>
        <w:tc>
          <w:tcPr>
            <w:tcW w:w="908" w:type="pct"/>
            <w:tcBorders>
              <w:top w:val="single" w:sz="6" w:space="0" w:color="CCE8CF"/>
              <w:left w:val="single" w:sz="6" w:space="0" w:color="CCE8CF"/>
              <w:bottom w:val="single" w:sz="6" w:space="0" w:color="CCE8CF"/>
              <w:right w:val="single" w:sz="8" w:space="0" w:color="CCE8CF"/>
            </w:tcBorders>
            <w:shd w:val="clear" w:color="auto" w:fill="B6DDE8"/>
            <w:vAlign w:val="center"/>
            <w:hideMark/>
          </w:tcPr>
          <w:p w:rsidR="00DF0725" w:rsidRPr="00DF0725" w:rsidRDefault="00DF0725" w:rsidP="00DF0725">
            <w:pPr>
              <w:adjustRightInd w:val="0"/>
              <w:snapToGrid w:val="0"/>
              <w:spacing w:before="100" w:beforeAutospacing="1" w:after="100" w:afterAutospacing="1"/>
              <w:jc w:val="right"/>
              <w:rPr>
                <w:bCs/>
                <w:kern w:val="0"/>
                <w:sz w:val="24"/>
                <w:szCs w:val="24"/>
              </w:rPr>
            </w:pPr>
            <w:r w:rsidRPr="00DF0725">
              <w:rPr>
                <w:rFonts w:hint="eastAsia"/>
                <w:bCs/>
                <w:kern w:val="0"/>
                <w:sz w:val="24"/>
                <w:szCs w:val="24"/>
              </w:rPr>
              <w:t xml:space="preserve">1.3 </w:t>
            </w:r>
          </w:p>
        </w:tc>
      </w:tr>
    </w:tbl>
    <w:p w:rsidR="00DF0725" w:rsidRDefault="00DF0725" w:rsidP="00DF0725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7D5900" w:rsidRPr="00015D1E" w:rsidRDefault="007D5900" w:rsidP="007D5900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楷体_GBK" w:eastAsia="方正楷体_GBK" w:hAnsi="Times New Roman" w:cs="Times New Roman" w:hint="eastAsia"/>
          <w:b/>
          <w:sz w:val="32"/>
          <w:szCs w:val="32"/>
        </w:rPr>
        <w:t>三是</w:t>
      </w:r>
      <w:r w:rsidRPr="00015D1E">
        <w:rPr>
          <w:rFonts w:ascii="方正楷体_GBK" w:eastAsia="方正楷体_GBK" w:hAnsi="Times New Roman" w:cs="Times New Roman" w:hint="eastAsia"/>
          <w:b/>
          <w:sz w:val="32"/>
          <w:szCs w:val="32"/>
        </w:rPr>
        <w:t>民营企业出口增速较快。</w:t>
      </w:r>
      <w:r w:rsidRPr="00F23136"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 w:rsidRPr="00F23136">
        <w:rPr>
          <w:rFonts w:ascii="Times New Roman" w:eastAsia="方正仿宋_GBK" w:hAnsi="Times New Roman" w:cs="Times New Roman" w:hint="eastAsia"/>
          <w:sz w:val="32"/>
          <w:szCs w:val="32"/>
        </w:rPr>
        <w:t>年前</w:t>
      </w:r>
      <w:r w:rsidRPr="00F23136">
        <w:rPr>
          <w:rFonts w:ascii="Times New Roman" w:eastAsia="方正仿宋_GBK" w:hAnsi="Times New Roman" w:cs="Times New Roman" w:hint="eastAsia"/>
          <w:sz w:val="32"/>
          <w:szCs w:val="32"/>
        </w:rPr>
        <w:t>8</w:t>
      </w:r>
      <w:r w:rsidRPr="00F23136">
        <w:rPr>
          <w:rFonts w:ascii="Times New Roman" w:eastAsia="方正仿宋_GBK" w:hAnsi="Times New Roman" w:cs="Times New Roman" w:hint="eastAsia"/>
          <w:sz w:val="32"/>
          <w:szCs w:val="32"/>
        </w:rPr>
        <w:t>个月</w:t>
      </w:r>
      <w:r w:rsidRPr="00186A2F">
        <w:rPr>
          <w:rFonts w:ascii="方正仿宋_GBK" w:eastAsia="方正仿宋_GBK" w:hint="eastAsia"/>
          <w:sz w:val="32"/>
          <w:szCs w:val="32"/>
        </w:rPr>
        <w:t>，深圳市民营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企业出口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478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亿元，增长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34.9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，占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51.7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。同期，外商投资企业出口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437.6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亿元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，增长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1.4%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，占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47.3%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国有企业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出口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9.7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亿元，下降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69.8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015D1E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D8403C" w:rsidRPr="00D8403C" w:rsidRDefault="00D8403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sectPr w:rsidR="00D8403C" w:rsidRPr="00D8403C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2F3" w:rsidRDefault="005C22F3">
      <w:r>
        <w:separator/>
      </w:r>
    </w:p>
  </w:endnote>
  <w:endnote w:type="continuationSeparator" w:id="0">
    <w:p w:rsidR="005C22F3" w:rsidRDefault="005C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0B" w:rsidRDefault="00C1481B">
    <w:pPr>
      <w:pStyle w:val="a6"/>
      <w:jc w:val="center"/>
    </w:pPr>
    <w:r>
      <w:rPr>
        <w:rFonts w:ascii="Times New Roman" w:hAnsi="Times New Roman" w:cs="Times New Roman"/>
        <w:sz w:val="22"/>
      </w:rPr>
      <w:fldChar w:fldCharType="begin"/>
    </w:r>
    <w:r>
      <w:rPr>
        <w:rFonts w:ascii="Times New Roman" w:hAnsi="Times New Roman" w:cs="Times New Roman"/>
        <w:sz w:val="22"/>
      </w:rPr>
      <w:instrText xml:space="preserve"> PAGE   \* MERGEFORMAT </w:instrText>
    </w:r>
    <w:r>
      <w:rPr>
        <w:rFonts w:ascii="Times New Roman" w:hAnsi="Times New Roman" w:cs="Times New Roman"/>
        <w:sz w:val="22"/>
      </w:rPr>
      <w:fldChar w:fldCharType="separate"/>
    </w:r>
    <w:r w:rsidR="00DF0725" w:rsidRPr="00DF0725">
      <w:rPr>
        <w:rFonts w:ascii="Times New Roman" w:hAnsi="Times New Roman" w:cs="Times New Roman"/>
        <w:noProof/>
        <w:sz w:val="22"/>
        <w:lang w:val="zh-CN"/>
      </w:rPr>
      <w:t>2</w:t>
    </w:r>
    <w:r>
      <w:rPr>
        <w:rFonts w:ascii="Times New Roman" w:hAnsi="Times New Roman" w:cs="Times New Roman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2F3" w:rsidRDefault="005C22F3">
      <w:r>
        <w:separator/>
      </w:r>
    </w:p>
  </w:footnote>
  <w:footnote w:type="continuationSeparator" w:id="0">
    <w:p w:rsidR="005C22F3" w:rsidRDefault="005C2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64070B"/>
    <w:rsid w:val="00120EF6"/>
    <w:rsid w:val="003D1423"/>
    <w:rsid w:val="00457518"/>
    <w:rsid w:val="004E7701"/>
    <w:rsid w:val="005255EB"/>
    <w:rsid w:val="005C22F3"/>
    <w:rsid w:val="0064070B"/>
    <w:rsid w:val="007812B5"/>
    <w:rsid w:val="007D5900"/>
    <w:rsid w:val="008D7CBE"/>
    <w:rsid w:val="00925EFE"/>
    <w:rsid w:val="00933DB4"/>
    <w:rsid w:val="009F0AC6"/>
    <w:rsid w:val="00A45844"/>
    <w:rsid w:val="00A676A9"/>
    <w:rsid w:val="00BD7A44"/>
    <w:rsid w:val="00C1481B"/>
    <w:rsid w:val="00C302E7"/>
    <w:rsid w:val="00C530BC"/>
    <w:rsid w:val="00CF022E"/>
    <w:rsid w:val="00D66A18"/>
    <w:rsid w:val="00D8403C"/>
    <w:rsid w:val="00DF0725"/>
    <w:rsid w:val="00E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pPr>
      <w:snapToGrid w:val="0"/>
      <w:jc w:val="left"/>
    </w:pPr>
    <w:rPr>
      <w:sz w:val="18"/>
      <w:szCs w:val="18"/>
    </w:rPr>
  </w:style>
  <w:style w:type="character" w:styleId="a4">
    <w:name w:val="footnote reference"/>
    <w:basedOn w:val="a0"/>
    <w:uiPriority w:val="99"/>
    <w:rPr>
      <w:vertAlign w:val="superscript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a"/>
    <w:next w:val="a"/>
    <w:autoRedefine/>
    <w:pPr>
      <w:ind w:left="1680"/>
    </w:pPr>
  </w:style>
  <w:style w:type="paragraph" w:styleId="3">
    <w:name w:val="toc 3"/>
    <w:basedOn w:val="a"/>
    <w:next w:val="a"/>
    <w:autoRedefine/>
    <w:pPr>
      <w:ind w:left="840"/>
    </w:pPr>
  </w:style>
  <w:style w:type="paragraph" w:styleId="6">
    <w:name w:val="toc 6"/>
    <w:basedOn w:val="a"/>
    <w:next w:val="a"/>
    <w:autoRedefine/>
    <w:pPr>
      <w:ind w:left="2100"/>
    </w:pPr>
  </w:style>
  <w:style w:type="paragraph" w:styleId="7">
    <w:name w:val="toc 7"/>
    <w:basedOn w:val="a"/>
    <w:next w:val="a"/>
    <w:autoRedefine/>
    <w:pPr>
      <w:ind w:left="2520"/>
    </w:pPr>
  </w:style>
  <w:style w:type="paragraph" w:styleId="8">
    <w:name w:val="toc 8"/>
    <w:basedOn w:val="a"/>
    <w:next w:val="a"/>
    <w:autoRedefine/>
    <w:pPr>
      <w:ind w:left="2940"/>
    </w:pPr>
  </w:style>
  <w:style w:type="paragraph" w:customStyle="1" w:styleId="a7">
    <w:name w:val="样式 三号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0">
    <w:name w:val="样式 3 三号"/>
    <w:next w:val="3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1">
    <w:name w:val="样式 3 小四"/>
    <w:rPr>
      <w:sz w:val="24"/>
      <w:szCs w:val="24"/>
    </w:rPr>
  </w:style>
  <w:style w:type="paragraph" w:customStyle="1" w:styleId="a8">
    <w:name w:val="样式"/>
    <w:rPr>
      <w:vertAlign w:val="superscript"/>
    </w:rPr>
  </w:style>
  <w:style w:type="paragraph" w:customStyle="1" w:styleId="4">
    <w:name w:val="样式 4"/>
    <w:next w:val="6"/>
    <w:rPr>
      <w:vertAlign w:val="superscript"/>
    </w:rPr>
  </w:style>
  <w:style w:type="paragraph" w:customStyle="1" w:styleId="a9">
    <w:name w:val="样式 小五"/>
    <w:pPr>
      <w:widowControl w:val="0"/>
      <w:snapToGrid w:val="0"/>
    </w:pPr>
    <w:rPr>
      <w:kern w:val="2"/>
      <w:sz w:val="18"/>
      <w:szCs w:val="18"/>
    </w:rPr>
  </w:style>
  <w:style w:type="paragraph" w:customStyle="1" w:styleId="1">
    <w:name w:val="样式 1"/>
    <w:rPr>
      <w:vertAlign w:val="superscript"/>
    </w:rPr>
  </w:style>
  <w:style w:type="paragraph" w:customStyle="1" w:styleId="32">
    <w:name w:val="样式 3 小五"/>
    <w:next w:val="7"/>
    <w:pPr>
      <w:widowControl w:val="0"/>
      <w:snapToGrid w:val="0"/>
    </w:pPr>
    <w:rPr>
      <w:kern w:val="2"/>
      <w:sz w:val="18"/>
      <w:szCs w:val="18"/>
    </w:rPr>
  </w:style>
  <w:style w:type="paragraph" w:customStyle="1" w:styleId="50">
    <w:name w:val="样式 5"/>
    <w:next w:val="8"/>
    <w:rPr>
      <w:vertAlign w:val="superscript"/>
    </w:rPr>
  </w:style>
  <w:style w:type="paragraph" w:customStyle="1" w:styleId="aa">
    <w:name w:val="样式 小四"/>
    <w:rPr>
      <w:sz w:val="24"/>
      <w:szCs w:val="24"/>
    </w:rPr>
  </w:style>
  <w:style w:type="paragraph" w:customStyle="1" w:styleId="2">
    <w:name w:val="样式 2"/>
    <w:rPr>
      <w:vertAlign w:val="superscript"/>
    </w:rPr>
  </w:style>
  <w:style w:type="paragraph" w:customStyle="1" w:styleId="10">
    <w:name w:val="样式 1 小五"/>
    <w:pPr>
      <w:widowControl w:val="0"/>
      <w:snapToGrid w:val="0"/>
    </w:pPr>
    <w:rPr>
      <w:kern w:val="2"/>
      <w:sz w:val="18"/>
      <w:szCs w:val="18"/>
    </w:rPr>
  </w:style>
  <w:style w:type="paragraph" w:customStyle="1" w:styleId="33">
    <w:name w:val="样式 3"/>
    <w:rPr>
      <w:vertAlign w:val="superscript"/>
    </w:rPr>
  </w:style>
  <w:style w:type="paragraph" w:customStyle="1" w:styleId="40">
    <w:name w:val="样式 4"/>
    <w:rPr>
      <w:vertAlign w:val="superscript"/>
    </w:rPr>
  </w:style>
  <w:style w:type="paragraph" w:customStyle="1" w:styleId="11">
    <w:name w:val="样式 1 小四"/>
    <w:rPr>
      <w:sz w:val="24"/>
      <w:szCs w:val="24"/>
    </w:rPr>
  </w:style>
  <w:style w:type="paragraph" w:customStyle="1" w:styleId="20">
    <w:name w:val="样式 2 小五"/>
    <w:pPr>
      <w:widowControl w:val="0"/>
      <w:snapToGrid w:val="0"/>
    </w:pPr>
    <w:rPr>
      <w:kern w:val="2"/>
      <w:sz w:val="18"/>
      <w:szCs w:val="18"/>
    </w:rPr>
  </w:style>
  <w:style w:type="paragraph" w:customStyle="1" w:styleId="51">
    <w:name w:val="样式 5"/>
    <w:rPr>
      <w:vertAlign w:val="superscript"/>
    </w:rPr>
  </w:style>
  <w:style w:type="paragraph" w:customStyle="1" w:styleId="100">
    <w:name w:val="样式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0">
    <w:name w:val="样式 6"/>
    <w:link w:val="6Char"/>
    <w:rPr>
      <w:vertAlign w:val="superscript"/>
    </w:rPr>
  </w:style>
  <w:style w:type="character" w:customStyle="1" w:styleId="6Char">
    <w:name w:val="样式 6  Char"/>
    <w:basedOn w:val="a0"/>
    <w:link w:val="60"/>
    <w:rPr>
      <w:vertAlign w:val="superscript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">
    <w:name w:val="样式 4 小五"/>
    <w:pPr>
      <w:widowControl w:val="0"/>
      <w:snapToGrid w:val="0"/>
    </w:pPr>
    <w:rPr>
      <w:rFonts w:ascii="Calibri" w:hAnsi="Calibri" w:cs="Arial"/>
      <w:kern w:val="2"/>
      <w:sz w:val="18"/>
      <w:szCs w:val="18"/>
    </w:rPr>
  </w:style>
  <w:style w:type="paragraph" w:customStyle="1" w:styleId="70">
    <w:name w:val="样式 7"/>
    <w:link w:val="7Char"/>
    <w:rPr>
      <w:vertAlign w:val="superscript"/>
    </w:rPr>
  </w:style>
  <w:style w:type="character" w:customStyle="1" w:styleId="7Char">
    <w:name w:val="样式 7  Char"/>
    <w:basedOn w:val="a0"/>
    <w:link w:val="70"/>
    <w:rPr>
      <w:vertAlign w:val="superscript"/>
    </w:rPr>
  </w:style>
  <w:style w:type="paragraph" w:customStyle="1" w:styleId="21">
    <w:name w:val="样式 2 小四"/>
    <w:rPr>
      <w:sz w:val="24"/>
      <w:szCs w:val="24"/>
    </w:rPr>
  </w:style>
  <w:style w:type="paragraph" w:customStyle="1" w:styleId="80">
    <w:name w:val="样式 8"/>
    <w:link w:val="8Char"/>
    <w:rPr>
      <w:vertAlign w:val="superscript"/>
    </w:rPr>
  </w:style>
  <w:style w:type="character" w:customStyle="1" w:styleId="8Char">
    <w:name w:val="样式 8  Char"/>
    <w:basedOn w:val="a0"/>
    <w:link w:val="80"/>
    <w:rPr>
      <w:rFonts w:ascii="Times New Roman" w:eastAsia="宋体" w:hAnsi="Times New Roman" w:cs="Times New Roman"/>
      <w:vertAlign w:val="superscript"/>
      <w:lang w:val="en-US" w:eastAsia="zh-CN" w:bidi="ar-SA"/>
    </w:rPr>
  </w:style>
  <w:style w:type="paragraph" w:customStyle="1" w:styleId="52">
    <w:name w:val="样式 5 小五"/>
    <w:pPr>
      <w:widowControl w:val="0"/>
      <w:snapToGrid w:val="0"/>
    </w:pPr>
    <w:rPr>
      <w:kern w:val="2"/>
      <w:sz w:val="18"/>
      <w:szCs w:val="18"/>
    </w:rPr>
  </w:style>
  <w:style w:type="paragraph" w:customStyle="1" w:styleId="9">
    <w:name w:val="样式 9"/>
    <w:link w:val="9Char"/>
    <w:rPr>
      <w:vertAlign w:val="superscript"/>
    </w:rPr>
  </w:style>
  <w:style w:type="character" w:customStyle="1" w:styleId="9Char">
    <w:name w:val="样式 9  Char"/>
    <w:basedOn w:val="a0"/>
    <w:link w:val="9"/>
    <w:rPr>
      <w:rFonts w:ascii="Times New Roman" w:eastAsia="宋体" w:hAnsi="Times New Roman" w:cs="Times New Roman"/>
      <w:vertAlign w:val="superscript"/>
      <w:lang w:val="en-US" w:eastAsia="zh-CN" w:bidi="ar-SA"/>
    </w:rPr>
  </w:style>
  <w:style w:type="paragraph" w:customStyle="1" w:styleId="61">
    <w:name w:val="样式 6 小五"/>
    <w:pPr>
      <w:widowControl w:val="0"/>
      <w:snapToGrid w:val="0"/>
    </w:pPr>
    <w:rPr>
      <w:rFonts w:ascii="Calibri" w:hAnsi="Calibri" w:cs="Arial"/>
      <w:kern w:val="2"/>
      <w:sz w:val="18"/>
      <w:szCs w:val="18"/>
    </w:rPr>
  </w:style>
  <w:style w:type="paragraph" w:customStyle="1" w:styleId="71">
    <w:name w:val="样式 7 小五"/>
    <w:pPr>
      <w:widowControl w:val="0"/>
      <w:snapToGrid w:val="0"/>
    </w:pPr>
    <w:rPr>
      <w:kern w:val="2"/>
      <w:sz w:val="18"/>
      <w:szCs w:val="18"/>
    </w:rPr>
  </w:style>
  <w:style w:type="paragraph" w:styleId="ab">
    <w:name w:val="Balloon Text"/>
    <w:basedOn w:val="a"/>
    <w:link w:val="Char0"/>
    <w:uiPriority w:val="99"/>
    <w:semiHidden/>
    <w:unhideWhenUsed/>
    <w:rsid w:val="008D7CBE"/>
    <w:rPr>
      <w:sz w:val="18"/>
      <w:szCs w:val="18"/>
    </w:rPr>
  </w:style>
  <w:style w:type="character" w:customStyle="1" w:styleId="Char0">
    <w:name w:val="批注框文本 Char"/>
    <w:basedOn w:val="a0"/>
    <w:link w:val="ab"/>
    <w:uiPriority w:val="99"/>
    <w:semiHidden/>
    <w:rsid w:val="008D7CBE"/>
    <w:rPr>
      <w:rFonts w:ascii="Calibri" w:hAnsi="Calibri" w:cs="Arial"/>
      <w:kern w:val="2"/>
      <w:sz w:val="18"/>
      <w:szCs w:val="18"/>
    </w:rPr>
  </w:style>
  <w:style w:type="character" w:customStyle="1" w:styleId="Char">
    <w:name w:val="脚注文本 Char"/>
    <w:basedOn w:val="a0"/>
    <w:link w:val="a3"/>
    <w:uiPriority w:val="99"/>
    <w:rsid w:val="00933DB4"/>
    <w:rPr>
      <w:rFonts w:ascii="Calibri" w:hAnsi="Calibri" w:cs="Arial"/>
      <w:kern w:val="2"/>
      <w:sz w:val="18"/>
      <w:szCs w:val="18"/>
    </w:rPr>
  </w:style>
  <w:style w:type="paragraph" w:customStyle="1" w:styleId="1810">
    <w:name w:val="样式 18 10 磅"/>
    <w:rsid w:val="00DF0725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pPr>
      <w:snapToGrid w:val="0"/>
      <w:jc w:val="left"/>
    </w:pPr>
    <w:rPr>
      <w:sz w:val="18"/>
      <w:szCs w:val="18"/>
    </w:rPr>
  </w:style>
  <w:style w:type="character" w:styleId="a4">
    <w:name w:val="footnote reference"/>
    <w:basedOn w:val="a0"/>
    <w:uiPriority w:val="99"/>
    <w:rPr>
      <w:vertAlign w:val="superscript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index 5"/>
    <w:basedOn w:val="a"/>
    <w:next w:val="a"/>
    <w:autoRedefine/>
    <w:pPr>
      <w:ind w:left="1680"/>
    </w:pPr>
  </w:style>
  <w:style w:type="paragraph" w:styleId="3">
    <w:name w:val="toc 3"/>
    <w:basedOn w:val="a"/>
    <w:next w:val="a"/>
    <w:autoRedefine/>
    <w:pPr>
      <w:ind w:left="840"/>
    </w:pPr>
  </w:style>
  <w:style w:type="paragraph" w:styleId="6">
    <w:name w:val="toc 6"/>
    <w:basedOn w:val="a"/>
    <w:next w:val="a"/>
    <w:autoRedefine/>
    <w:pPr>
      <w:ind w:left="2100"/>
    </w:pPr>
  </w:style>
  <w:style w:type="paragraph" w:styleId="7">
    <w:name w:val="toc 7"/>
    <w:basedOn w:val="a"/>
    <w:next w:val="a"/>
    <w:autoRedefine/>
    <w:pPr>
      <w:ind w:left="2520"/>
    </w:pPr>
  </w:style>
  <w:style w:type="paragraph" w:styleId="8">
    <w:name w:val="toc 8"/>
    <w:basedOn w:val="a"/>
    <w:next w:val="a"/>
    <w:autoRedefine/>
    <w:pPr>
      <w:ind w:left="2940"/>
    </w:pPr>
  </w:style>
  <w:style w:type="paragraph" w:customStyle="1" w:styleId="a7">
    <w:name w:val="样式 三号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0">
    <w:name w:val="样式 3 三号"/>
    <w:next w:val="3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31">
    <w:name w:val="样式 3 小四"/>
    <w:rPr>
      <w:sz w:val="24"/>
      <w:szCs w:val="24"/>
    </w:rPr>
  </w:style>
  <w:style w:type="paragraph" w:customStyle="1" w:styleId="a8">
    <w:name w:val="样式"/>
    <w:rPr>
      <w:vertAlign w:val="superscript"/>
    </w:rPr>
  </w:style>
  <w:style w:type="paragraph" w:customStyle="1" w:styleId="4">
    <w:name w:val="样式 4"/>
    <w:next w:val="6"/>
    <w:rPr>
      <w:vertAlign w:val="superscript"/>
    </w:rPr>
  </w:style>
  <w:style w:type="paragraph" w:customStyle="1" w:styleId="a9">
    <w:name w:val="样式 小五"/>
    <w:pPr>
      <w:widowControl w:val="0"/>
      <w:snapToGrid w:val="0"/>
    </w:pPr>
    <w:rPr>
      <w:kern w:val="2"/>
      <w:sz w:val="18"/>
      <w:szCs w:val="18"/>
    </w:rPr>
  </w:style>
  <w:style w:type="paragraph" w:customStyle="1" w:styleId="1">
    <w:name w:val="样式 1"/>
    <w:rPr>
      <w:vertAlign w:val="superscript"/>
    </w:rPr>
  </w:style>
  <w:style w:type="paragraph" w:customStyle="1" w:styleId="32">
    <w:name w:val="样式 3 小五"/>
    <w:next w:val="7"/>
    <w:pPr>
      <w:widowControl w:val="0"/>
      <w:snapToGrid w:val="0"/>
    </w:pPr>
    <w:rPr>
      <w:kern w:val="2"/>
      <w:sz w:val="18"/>
      <w:szCs w:val="18"/>
    </w:rPr>
  </w:style>
  <w:style w:type="paragraph" w:customStyle="1" w:styleId="50">
    <w:name w:val="样式 5"/>
    <w:next w:val="8"/>
    <w:rPr>
      <w:vertAlign w:val="superscript"/>
    </w:rPr>
  </w:style>
  <w:style w:type="paragraph" w:customStyle="1" w:styleId="aa">
    <w:name w:val="样式 小四"/>
    <w:rPr>
      <w:sz w:val="24"/>
      <w:szCs w:val="24"/>
    </w:rPr>
  </w:style>
  <w:style w:type="paragraph" w:customStyle="1" w:styleId="2">
    <w:name w:val="样式 2"/>
    <w:rPr>
      <w:vertAlign w:val="superscript"/>
    </w:rPr>
  </w:style>
  <w:style w:type="paragraph" w:customStyle="1" w:styleId="10">
    <w:name w:val="样式 1 小五"/>
    <w:pPr>
      <w:widowControl w:val="0"/>
      <w:snapToGrid w:val="0"/>
    </w:pPr>
    <w:rPr>
      <w:kern w:val="2"/>
      <w:sz w:val="18"/>
      <w:szCs w:val="18"/>
    </w:rPr>
  </w:style>
  <w:style w:type="paragraph" w:customStyle="1" w:styleId="33">
    <w:name w:val="样式 3"/>
    <w:rPr>
      <w:vertAlign w:val="superscript"/>
    </w:rPr>
  </w:style>
  <w:style w:type="paragraph" w:customStyle="1" w:styleId="40">
    <w:name w:val="样式 4"/>
    <w:rPr>
      <w:vertAlign w:val="superscript"/>
    </w:rPr>
  </w:style>
  <w:style w:type="paragraph" w:customStyle="1" w:styleId="11">
    <w:name w:val="样式 1 小四"/>
    <w:rPr>
      <w:sz w:val="24"/>
      <w:szCs w:val="24"/>
    </w:rPr>
  </w:style>
  <w:style w:type="paragraph" w:customStyle="1" w:styleId="20">
    <w:name w:val="样式 2 小五"/>
    <w:pPr>
      <w:widowControl w:val="0"/>
      <w:snapToGrid w:val="0"/>
    </w:pPr>
    <w:rPr>
      <w:kern w:val="2"/>
      <w:sz w:val="18"/>
      <w:szCs w:val="18"/>
    </w:rPr>
  </w:style>
  <w:style w:type="paragraph" w:customStyle="1" w:styleId="51">
    <w:name w:val="样式 5"/>
    <w:rPr>
      <w:vertAlign w:val="superscript"/>
    </w:rPr>
  </w:style>
  <w:style w:type="paragraph" w:customStyle="1" w:styleId="100">
    <w:name w:val="样式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60">
    <w:name w:val="样式 6"/>
    <w:link w:val="6Char"/>
    <w:rPr>
      <w:vertAlign w:val="superscript"/>
    </w:rPr>
  </w:style>
  <w:style w:type="character" w:customStyle="1" w:styleId="6Char">
    <w:name w:val="样式 6  Char"/>
    <w:basedOn w:val="a0"/>
    <w:link w:val="60"/>
    <w:rPr>
      <w:vertAlign w:val="superscript"/>
    </w:rPr>
  </w:style>
  <w:style w:type="paragraph" w:customStyle="1" w:styleId="110">
    <w:name w:val="样式 1 10 磅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customStyle="1" w:styleId="41">
    <w:name w:val="样式 4 小五"/>
    <w:pPr>
      <w:widowControl w:val="0"/>
      <w:snapToGrid w:val="0"/>
    </w:pPr>
    <w:rPr>
      <w:rFonts w:ascii="Calibri" w:hAnsi="Calibri" w:cs="Arial"/>
      <w:kern w:val="2"/>
      <w:sz w:val="18"/>
      <w:szCs w:val="18"/>
    </w:rPr>
  </w:style>
  <w:style w:type="paragraph" w:customStyle="1" w:styleId="70">
    <w:name w:val="样式 7"/>
    <w:link w:val="7Char"/>
    <w:rPr>
      <w:vertAlign w:val="superscript"/>
    </w:rPr>
  </w:style>
  <w:style w:type="character" w:customStyle="1" w:styleId="7Char">
    <w:name w:val="样式 7  Char"/>
    <w:basedOn w:val="a0"/>
    <w:link w:val="70"/>
    <w:rPr>
      <w:vertAlign w:val="superscript"/>
    </w:rPr>
  </w:style>
  <w:style w:type="paragraph" w:customStyle="1" w:styleId="21">
    <w:name w:val="样式 2 小四"/>
    <w:rPr>
      <w:sz w:val="24"/>
      <w:szCs w:val="24"/>
    </w:rPr>
  </w:style>
  <w:style w:type="paragraph" w:customStyle="1" w:styleId="80">
    <w:name w:val="样式 8"/>
    <w:link w:val="8Char"/>
    <w:rPr>
      <w:vertAlign w:val="superscript"/>
    </w:rPr>
  </w:style>
  <w:style w:type="character" w:customStyle="1" w:styleId="8Char">
    <w:name w:val="样式 8  Char"/>
    <w:basedOn w:val="a0"/>
    <w:link w:val="80"/>
    <w:rPr>
      <w:rFonts w:ascii="Times New Roman" w:eastAsia="宋体" w:hAnsi="Times New Roman" w:cs="Times New Roman"/>
      <w:vertAlign w:val="superscript"/>
      <w:lang w:val="en-US" w:eastAsia="zh-CN" w:bidi="ar-SA"/>
    </w:rPr>
  </w:style>
  <w:style w:type="paragraph" w:customStyle="1" w:styleId="52">
    <w:name w:val="样式 5 小五"/>
    <w:pPr>
      <w:widowControl w:val="0"/>
      <w:snapToGrid w:val="0"/>
    </w:pPr>
    <w:rPr>
      <w:kern w:val="2"/>
      <w:sz w:val="18"/>
      <w:szCs w:val="18"/>
    </w:rPr>
  </w:style>
  <w:style w:type="paragraph" w:customStyle="1" w:styleId="9">
    <w:name w:val="样式 9"/>
    <w:link w:val="9Char"/>
    <w:rPr>
      <w:vertAlign w:val="superscript"/>
    </w:rPr>
  </w:style>
  <w:style w:type="character" w:customStyle="1" w:styleId="9Char">
    <w:name w:val="样式 9  Char"/>
    <w:basedOn w:val="a0"/>
    <w:link w:val="9"/>
    <w:rPr>
      <w:rFonts w:ascii="Times New Roman" w:eastAsia="宋体" w:hAnsi="Times New Roman" w:cs="Times New Roman"/>
      <w:vertAlign w:val="superscript"/>
      <w:lang w:val="en-US" w:eastAsia="zh-CN" w:bidi="ar-SA"/>
    </w:rPr>
  </w:style>
  <w:style w:type="paragraph" w:customStyle="1" w:styleId="61">
    <w:name w:val="样式 6 小五"/>
    <w:pPr>
      <w:widowControl w:val="0"/>
      <w:snapToGrid w:val="0"/>
    </w:pPr>
    <w:rPr>
      <w:rFonts w:ascii="Calibri" w:hAnsi="Calibri" w:cs="Arial"/>
      <w:kern w:val="2"/>
      <w:sz w:val="18"/>
      <w:szCs w:val="18"/>
    </w:rPr>
  </w:style>
  <w:style w:type="paragraph" w:customStyle="1" w:styleId="71">
    <w:name w:val="样式 7 小五"/>
    <w:pPr>
      <w:widowControl w:val="0"/>
      <w:snapToGrid w:val="0"/>
    </w:pPr>
    <w:rPr>
      <w:kern w:val="2"/>
      <w:sz w:val="18"/>
      <w:szCs w:val="18"/>
    </w:rPr>
  </w:style>
  <w:style w:type="paragraph" w:styleId="ab">
    <w:name w:val="Balloon Text"/>
    <w:basedOn w:val="a"/>
    <w:link w:val="Char0"/>
    <w:uiPriority w:val="99"/>
    <w:semiHidden/>
    <w:unhideWhenUsed/>
    <w:rsid w:val="008D7CBE"/>
    <w:rPr>
      <w:sz w:val="18"/>
      <w:szCs w:val="18"/>
    </w:rPr>
  </w:style>
  <w:style w:type="character" w:customStyle="1" w:styleId="Char0">
    <w:name w:val="批注框文本 Char"/>
    <w:basedOn w:val="a0"/>
    <w:link w:val="ab"/>
    <w:uiPriority w:val="99"/>
    <w:semiHidden/>
    <w:rsid w:val="008D7CBE"/>
    <w:rPr>
      <w:rFonts w:ascii="Calibri" w:hAnsi="Calibri" w:cs="Arial"/>
      <w:kern w:val="2"/>
      <w:sz w:val="18"/>
      <w:szCs w:val="18"/>
    </w:rPr>
  </w:style>
  <w:style w:type="character" w:customStyle="1" w:styleId="Char">
    <w:name w:val="脚注文本 Char"/>
    <w:basedOn w:val="a0"/>
    <w:link w:val="a3"/>
    <w:uiPriority w:val="99"/>
    <w:rsid w:val="00933DB4"/>
    <w:rPr>
      <w:rFonts w:ascii="Calibri" w:hAnsi="Calibri" w:cs="Arial"/>
      <w:kern w:val="2"/>
      <w:sz w:val="18"/>
      <w:szCs w:val="18"/>
    </w:rPr>
  </w:style>
  <w:style w:type="paragraph" w:customStyle="1" w:styleId="1810">
    <w:name w:val="样式 18 10 磅"/>
    <w:rsid w:val="00DF0725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786E-3323-4589-B166-F37120663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125</Words>
  <Characters>716</Characters>
  <Application>Microsoft Office Word</Application>
  <DocSecurity>0</DocSecurity>
  <Lines>5</Lines>
  <Paragraphs>1</Paragraphs>
  <ScaleCrop>false</ScaleCrop>
  <Company>Microsoft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阮晴</dc:creator>
  <cp:lastModifiedBy>徐力</cp:lastModifiedBy>
  <cp:revision>10</cp:revision>
  <dcterms:created xsi:type="dcterms:W3CDTF">2026-09-29T07:22:00Z</dcterms:created>
  <dcterms:modified xsi:type="dcterms:W3CDTF">2026-09-29T10:18:00Z</dcterms:modified>
</cp:coreProperties>
</file>