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600" w:lineRule="exact"/>
        <w:ind w:right="34"/>
        <w:jc w:val="center"/>
        <w:rPr>
          <w:rFonts w:ascii="方正小标宋_GBK" w:eastAsia="方正小标宋_GBK" w:cs="Times New Roman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</w:pPr>
      <w:bookmarkStart w:id="0" w:name="wpds__标题__Text"/>
      <w:bookmarkStart w:id="1" w:name="_GoBack"/>
      <w:bookmarkEnd w:id="1"/>
      <w:r>
        <w:rPr>
          <w:rFonts w:ascii="方正小标宋_GBK" w:eastAsia="方正小标宋_GBK" w:cs="Times New Roman" w:hint="eastAsia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2026年1-8月河北省</w:t>
      </w:r>
      <w:bookmarkEnd w:id="0"/>
      <w:r>
        <w:rPr>
          <w:rFonts w:ascii="方正小标宋_GBK" w:eastAsia="方正小标宋_GBK" w:cs="Times New Roman" w:hint="eastAsia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进出口</w:t>
      </w:r>
      <w:r>
        <w:rPr>
          <w:rFonts w:ascii="方正小标宋_GBK" w:eastAsia="方正小标宋_GBK" w:cs="Times New Roman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情况</w:t>
      </w:r>
    </w:p>
    <w:p>
      <w:pPr>
        <w:spacing w:line="600" w:lineRule="exact"/>
        <w:ind w:right="34"/>
        <w:jc w:val="center"/>
        <w:rPr>
          <w:rFonts w:ascii="方正仿宋_GBK" w:eastAsia="方正小标宋_GBK" w:hAnsi="方正仿宋_GBK"/>
          <w:spacing w:val="-4"/>
        </w:rPr>
      </w:pPr>
    </w:p>
    <w:p>
      <w:pPr>
        <w:pStyle w:val="37"/>
        <w:adjustRightInd w:val="0"/>
        <w:snapToGrid w:val="0"/>
        <w:spacing w:line="560" w:lineRule="exact"/>
        <w:ind w:left="0" w:firstLineChars="200" w:firstLine="640"/>
        <w:rPr>
          <w:rFonts w:eastAsia="方正黑体_GBK" w:cs="Times New Roman"/>
          <w:lang w:bidi="ar-SA"/>
        </w:rPr>
      </w:pPr>
      <w:r>
        <w:rPr>
          <w:rFonts w:eastAsia="方正黑体_GBK" w:cs="Times New Roman"/>
          <w:lang w:bidi="ar-SA"/>
        </w:rPr>
        <w:t>一、进出口整体情况</w:t>
      </w:r>
    </w:p>
    <w:p>
      <w:pPr>
        <w:pStyle w:val="38"/>
        <w:adjustRightInd w:val="0"/>
        <w:snapToGrid w:val="0"/>
        <w:spacing w:line="560" w:lineRule="exact"/>
        <w:ind w:left="0" w:firstLineChars="200" w:firstLine="640"/>
        <w:rPr>
          <w:rFonts w:cs="Times New Roman"/>
        </w:rPr>
      </w:pPr>
      <w:r>
        <w:rPr>
          <w:rFonts w:cs="Times New Roman"/>
          <w:lang w:bidi="ar-SA"/>
        </w:rPr>
        <w:t>2026年1-8月，河北省外贸进出口总值5226.9亿元人民币（下同），同比（下同）增长27.5%。其中，出口3173.2亿元，增长26.5%；进口2053.7亿元，增长29.1%。8月当月进出口689.3亿元，增长8.5%，环比增长1.6%。其中，出口441.6亿元，增长22.6%，环比增长2.4%；进口247.7亿元，下降10%，环比微增0.3%</w:t>
      </w:r>
      <w:r>
        <w:rPr>
          <w:rFonts w:cs="Times New Roman"/>
          <w:bdr w:val="none" w:sz="0" w:space="0" w:color="auto"/>
          <w:lang w:bidi="ar-SA"/>
        </w:rPr>
        <w:t>。</w:t>
      </w:r>
    </w:p>
    <w:p>
      <w:pPr>
        <w:pStyle w:val="42"/>
        <w:spacing w:line="560" w:lineRule="exact"/>
        <w:ind w:firstLineChars="200" w:firstLine="640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二、进出口主要特点</w:t>
      </w:r>
    </w:p>
    <w:p>
      <w:pPr>
        <w:pStyle w:val="43"/>
        <w:spacing w:after="0" w:line="560" w:lineRule="exact"/>
        <w:ind w:firstLineChars="200" w:firstLine="640"/>
        <w:jc w:val="both"/>
        <w:rPr>
          <w:rFonts w:ascii="Times New Roman" w:eastAsia="方正仿宋_GBK" w:cs="Times New Roman" w:hAnsi="Times New Roman"/>
          <w:kern w:val="0"/>
          <w:sz w:val="32"/>
          <w:szCs w:val="32"/>
          <w:lang w:bidi="ar-SA"/>
        </w:rPr>
      </w:pPr>
      <w:r>
        <w:rPr>
          <w:rFonts w:ascii="Times New Roman" w:eastAsia="方正楷体_GBK" w:cs="Times New Roman" w:hAnsi="Times New Roman" w:hint="eastAsia"/>
          <w:b/>
          <w:kern w:val="0"/>
          <w:sz w:val="32"/>
          <w:szCs w:val="32"/>
          <w:lang w:bidi="ar-SA"/>
        </w:rPr>
        <w:t>（一）贸易方式以一般贸易为主。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bidi="ar-SA"/>
        </w:rPr>
        <w:t>一般贸易进出口4348.7亿元，增长23.1%，占进出口总值的83.2%。保税物流进出口439.2亿元，增长44.2%。加工贸易进出口314.6亿元，增长1倍。</w:t>
      </w:r>
    </w:p>
    <w:p>
      <w:pPr>
        <w:pStyle w:val="44"/>
        <w:spacing w:after="0" w:line="560" w:lineRule="exact"/>
        <w:ind w:firstLineChars="200" w:firstLine="640"/>
        <w:jc w:val="both"/>
        <w:rPr>
          <w:rFonts w:ascii="Times New Roman" w:cs="Times New Roman" w:hAnsi="Times New Roman"/>
          <w:b/>
          <w:bCs/>
          <w:lang w:bidi="ar-SA"/>
        </w:rPr>
      </w:pPr>
      <w:r>
        <w:rPr>
          <w:rFonts w:ascii="Times New Roman" w:eastAsia="方正楷体_GBK" w:cs="Times New Roman" w:hAnsi="Times New Roman" w:hint="eastAsia"/>
          <w:b/>
          <w:bCs/>
          <w:kern w:val="0"/>
          <w:sz w:val="32"/>
          <w:szCs w:val="32"/>
          <w:lang w:bidi="ar-SA"/>
        </w:rPr>
        <w:t>（</w:t>
      </w:r>
      <w:r>
        <w:rPr>
          <w:rFonts w:ascii="Times New Roman" w:eastAsia="方正楷体_GBK" w:cs="Times New Roman" w:hAnsi="Times New Roman"/>
          <w:b/>
          <w:bCs/>
          <w:kern w:val="0"/>
          <w:sz w:val="32"/>
          <w:szCs w:val="32"/>
          <w:lang w:bidi="ar-SA"/>
        </w:rPr>
        <w:t>二</w:t>
      </w:r>
      <w:r>
        <w:rPr>
          <w:rFonts w:ascii="Times New Roman" w:eastAsia="方正楷体_GBK" w:cs="Times New Roman" w:hAnsi="Times New Roman" w:hint="eastAsia"/>
          <w:b/>
          <w:bCs/>
          <w:kern w:val="0"/>
          <w:sz w:val="32"/>
          <w:szCs w:val="32"/>
          <w:lang w:bidi="ar-SA"/>
        </w:rPr>
        <w:t>）</w:t>
      </w:r>
      <w:r>
        <w:rPr>
          <w:rFonts w:ascii="Times New Roman" w:eastAsia="方正楷体_GBK" w:cs="Times New Roman" w:hAnsi="Times New Roman"/>
          <w:b/>
          <w:bCs/>
          <w:kern w:val="0"/>
          <w:sz w:val="32"/>
          <w:szCs w:val="32"/>
          <w:lang w:bidi="ar-SA"/>
        </w:rPr>
        <w:t>对主要贸易伙伴进出口均实现增长</w:t>
      </w:r>
      <w:r>
        <w:rPr>
          <w:rFonts w:ascii="Times New Roman" w:eastAsia="方正楷体_GBK" w:cs="Times New Roman" w:hAnsi="Times New Roman" w:hint="eastAsia"/>
          <w:b/>
          <w:bCs/>
          <w:kern w:val="0"/>
          <w:sz w:val="32"/>
          <w:szCs w:val="32"/>
          <w:lang w:bidi="ar-SA"/>
        </w:rPr>
        <w:t>。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bidi="ar-SA"/>
        </w:rPr>
        <w:t>对东盟进出口577.7亿元，增长26.2%；对澳大利亚进出口531.5亿元，增长7.3%；对欧盟进出口490亿元，增长16.1%；对巴西进出口410.8亿元，增长17.6%</w:t>
      </w:r>
      <w:r>
        <w:rPr>
          <w:rFonts w:ascii="Times New Roman" w:eastAsia="方正仿宋_GBK" w:cs="Times New Roman" w:hAnsi="Times New Roman"/>
          <w:kern w:val="0"/>
          <w:sz w:val="32"/>
          <w:szCs w:val="32"/>
          <w:lang w:bidi="ar-SA"/>
        </w:rPr>
        <w:t>。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bidi="ar-SA"/>
        </w:rPr>
        <w:t>此外，对共建“一带一路”国家进出口3402.3亿元，增长35.5%，占全省进出口总值的65.1%，其中出口2002亿元，增长30.5%；进口1400.3亿元，增长43.4%。对拉美地区、非洲等新兴市场分别进出口847.5亿元、628.7亿元，分别增长33.2%、75.1%。</w:t>
      </w:r>
    </w:p>
    <w:p>
      <w:pPr>
        <w:pStyle w:val="45"/>
        <w:spacing w:after="0" w:line="560" w:lineRule="exact"/>
        <w:ind w:firstLineChars="200" w:firstLine="640"/>
        <w:jc w:val="both"/>
        <w:rPr>
          <w:rFonts w:ascii="Times New Roman" w:eastAsia="方正仿宋_GBK" w:cs="Times New Roman" w:hAnsi="Times New Roman"/>
          <w:kern w:val="0"/>
          <w:sz w:val="32"/>
          <w:szCs w:val="32"/>
          <w:lang w:bidi="ar-SA"/>
        </w:rPr>
      </w:pPr>
      <w:r>
        <w:rPr>
          <w:rFonts w:ascii="Times New Roman" w:eastAsia="方正楷体_GBK" w:cs="Times New Roman" w:hAnsi="Times New Roman" w:hint="eastAsia"/>
          <w:b/>
          <w:bCs/>
          <w:kern w:val="0"/>
          <w:sz w:val="32"/>
          <w:szCs w:val="32"/>
          <w:lang w:bidi="ar-SA"/>
        </w:rPr>
        <w:t>（</w:t>
      </w:r>
      <w:r>
        <w:rPr>
          <w:rFonts w:ascii="Times New Roman" w:eastAsia="方正楷体_GBK" w:cs="Times New Roman" w:hAnsi="Times New Roman"/>
          <w:b/>
          <w:bCs/>
          <w:kern w:val="0"/>
          <w:sz w:val="32"/>
          <w:szCs w:val="32"/>
          <w:lang w:bidi="ar-SA"/>
        </w:rPr>
        <w:t>三</w:t>
      </w:r>
      <w:r>
        <w:rPr>
          <w:rFonts w:ascii="Times New Roman" w:eastAsia="方正楷体_GBK" w:cs="Times New Roman" w:hAnsi="Times New Roman" w:hint="eastAsia"/>
          <w:b/>
          <w:bCs/>
          <w:kern w:val="0"/>
          <w:sz w:val="32"/>
          <w:szCs w:val="32"/>
          <w:lang w:bidi="ar-SA"/>
        </w:rPr>
        <w:t>）机电产品</w:t>
      </w:r>
      <w:r>
        <w:rPr>
          <w:rFonts w:ascii="Times New Roman" w:eastAsia="方正楷体_GBK" w:cs="Times New Roman" w:hAnsi="Times New Roman"/>
          <w:b/>
          <w:bCs/>
          <w:kern w:val="0"/>
          <w:sz w:val="32"/>
          <w:szCs w:val="32"/>
          <w:lang w:bidi="ar-SA"/>
        </w:rPr>
        <w:t>出口居首</w:t>
      </w:r>
      <w:r>
        <w:rPr>
          <w:rFonts w:ascii="Times New Roman" w:eastAsia="方正楷体_GBK" w:cs="Times New Roman" w:hAnsi="Times New Roman" w:hint="eastAsia"/>
          <w:b/>
          <w:bCs/>
          <w:kern w:val="0"/>
          <w:sz w:val="32"/>
          <w:szCs w:val="32"/>
          <w:lang w:bidi="ar-SA"/>
        </w:rPr>
        <w:t>。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bidi="ar-SA"/>
        </w:rPr>
        <w:t>机电产品出口1529.6亿元，增长27.5%，占出口总值的48.2%，其中汽车出口471.1亿元，增长46.2%，出口48.5万辆，增加50.3%。劳动密集型产品出口418.9亿元，增长14.8%，其中纺织服装出口202.4亿元，增长6.3%。钢材出口334.1亿元，增长42.5%。此外，“新三样”产品出口228.3亿元，增长36.9%，其中电动汽车出口180.2亿元，增长27.6%（出口16万辆，增加33.3%，价格11.3万元/辆，下跌4.3%），锂离子蓄电池出口29.3亿元，增长2.6倍，光伏产品出口18.7亿元，增长8.7%。</w:t>
      </w:r>
    </w:p>
    <w:p>
      <w:pPr>
        <w:pStyle w:val="46"/>
        <w:spacing w:after="0" w:line="560" w:lineRule="exact"/>
        <w:ind w:firstLineChars="200" w:firstLine="640"/>
        <w:jc w:val="both"/>
        <w:rPr>
          <w:rFonts w:ascii="Times New Roman" w:eastAsia="方正仿宋_GBK" w:cs="Times New Roman" w:hAnsi="Times New Roman" w:hint="eastAsia"/>
          <w:kern w:val="0"/>
          <w:sz w:val="32"/>
          <w:szCs w:val="32"/>
          <w:lang w:bidi="ar-SA"/>
        </w:rPr>
      </w:pPr>
      <w:r>
        <w:rPr>
          <w:rFonts w:ascii="Times New Roman" w:eastAsia="方正楷体_GBK" w:cs="Times New Roman" w:hAnsi="Times New Roman" w:hint="eastAsia"/>
          <w:b/>
          <w:bCs/>
          <w:kern w:val="0"/>
          <w:sz w:val="32"/>
          <w:szCs w:val="32"/>
          <w:lang w:bidi="ar-SA"/>
        </w:rPr>
        <w:t>（</w:t>
      </w:r>
      <w:r>
        <w:rPr>
          <w:rFonts w:ascii="Times New Roman" w:eastAsia="方正楷体_GBK" w:cs="Times New Roman" w:hAnsi="Times New Roman"/>
          <w:b/>
          <w:bCs/>
          <w:kern w:val="0"/>
          <w:sz w:val="32"/>
          <w:szCs w:val="32"/>
          <w:lang w:bidi="ar-SA"/>
        </w:rPr>
        <w:t>四</w:t>
      </w:r>
      <w:r>
        <w:rPr>
          <w:rFonts w:ascii="Times New Roman" w:eastAsia="方正楷体_GBK" w:cs="Times New Roman" w:hAnsi="Times New Roman" w:hint="eastAsia"/>
          <w:b/>
          <w:bCs/>
          <w:kern w:val="0"/>
          <w:sz w:val="32"/>
          <w:szCs w:val="32"/>
          <w:lang w:bidi="ar-SA"/>
        </w:rPr>
        <w:t>）大宗商品</w:t>
      </w:r>
      <w:r>
        <w:rPr>
          <w:rFonts w:ascii="Times New Roman" w:eastAsia="方正楷体_GBK" w:cs="Times New Roman" w:hAnsi="Times New Roman"/>
          <w:b/>
          <w:bCs/>
          <w:kern w:val="0"/>
          <w:sz w:val="32"/>
          <w:szCs w:val="32"/>
          <w:lang w:bidi="ar-SA"/>
        </w:rPr>
        <w:t>进口</w:t>
      </w:r>
      <w:r>
        <w:rPr>
          <w:rFonts w:ascii="Times New Roman" w:eastAsia="方正楷体_GBK" w:cs="Times New Roman" w:hAnsi="Times New Roman" w:hint="eastAsia"/>
          <w:b/>
          <w:bCs/>
          <w:kern w:val="0"/>
          <w:sz w:val="32"/>
          <w:szCs w:val="32"/>
          <w:lang w:bidi="ar-SA"/>
        </w:rPr>
        <w:t>占比近8成。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bidi="ar-SA"/>
        </w:rPr>
        <w:t>大宗商品进口1636.5亿元，增长39.9%，占进口总值的79.7%，拉动我省进口增长29.4个百分点，其中进口铁矿砂514.4亿元，增长0.3%；原油492.1亿元，增长1.2倍；进口天然气230.8亿元，增长66.3%；进口铜矿砂168.3亿元，增长6.5倍；进口大豆138.9亿元，增长6.1%；进口煤及褐煤34.1亿元，下降0.4%；进口铝矿砂31亿元，下降59.1%。此外，进口农产品（与大宗商品有交叉）249.9亿元，下降2.6%；进口机电产品90.9亿元，增长1.2%，其中进口电子元件、电工器材分别增长14%、9.8%，进口</w:t>
      </w:r>
      <w:r>
        <w:rPr>
          <w:rFonts w:ascii="Times New Roman" w:eastAsia="方正仿宋_GBK" w:cs="Times New Roman" w:hAnsi="Times New Roman"/>
          <w:kern w:val="0"/>
          <w:sz w:val="32"/>
          <w:szCs w:val="32"/>
          <w:lang w:bidi="ar-SA"/>
        </w:rPr>
        <w:t>电脑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bidi="ar-SA"/>
        </w:rPr>
        <w:t>零部件下降</w:t>
      </w:r>
      <w:r>
        <w:rPr>
          <w:rFonts w:ascii="Times New Roman" w:eastAsia="方正仿宋_GBK" w:cs="Times New Roman" w:hAnsi="Times New Roman"/>
          <w:kern w:val="0"/>
          <w:sz w:val="32"/>
          <w:szCs w:val="32"/>
          <w:lang w:bidi="ar-SA"/>
        </w:rPr>
        <w:t>31.1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bidi="ar-SA"/>
        </w:rPr>
        <w:t>%；进口高新技术产品（与机电产品有交叉）48.1亿元，增长4.7%，其中进口电子技术、计算机集成制造技术分别增长19%、1.6倍（表1、表2）</w:t>
      </w:r>
      <w:r>
        <w:rPr>
          <w:rFonts w:ascii="Times New Roman" w:eastAsia="方正仿宋_GBK" w:cs="Times New Roman" w:hAnsi="Times New Roman"/>
          <w:kern w:val="0"/>
          <w:sz w:val="32"/>
          <w:szCs w:val="32"/>
          <w:lang w:bidi="ar-SA"/>
        </w:rPr>
        <w:t>。</w:t>
      </w:r>
    </w:p>
    <w:tbl>
      <w:tblPr>
        <w:jc w:val="left"/>
        <w:tblInd w:w="-2" w:type="dxa"/>
        <w:tblW w:w="545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4"/>
      </w:tblGrid>
      <w:tr>
        <w:trPr>
          <w:trHeight w:val="283"/>
        </w:trPr>
        <w:tc>
          <w:tcPr>
            <w:tcW w:w="906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7"/>
              <w:spacing w:line="560" w:lineRule="exact"/>
              <w:ind w:left="0"/>
              <w:rPr>
                <w:rFonts w:eastAsia="方正小标宋_GBK" w:cs="Times New Roman"/>
                <w:sz w:val="28"/>
                <w:szCs w:val="28"/>
                <w:lang w:bidi="ar-SA"/>
                <w:highlight w:val="yellow"/>
              </w:rPr>
            </w:pPr>
          </w:p>
          <w:p>
            <w:pPr>
              <w:pStyle w:val="48"/>
              <w:spacing w:line="560" w:lineRule="exact"/>
              <w:ind w:firstLineChars="100" w:firstLine="280"/>
              <w:jc w:val="center"/>
              <w:rPr>
                <w:rFonts w:eastAsia="方正小标宋_GBK" w:cs="Times New Roman"/>
                <w:sz w:val="28"/>
                <w:szCs w:val="28"/>
                <w:lang w:bidi="ar-SA"/>
              </w:rPr>
            </w:pPr>
            <w:r>
              <w:rPr>
                <w:rFonts w:eastAsia="方正小标宋_GBK" w:cs="Times New Roman"/>
                <w:sz w:val="28"/>
                <w:szCs w:val="28"/>
                <w:lang w:bidi="ar-SA"/>
              </w:rPr>
              <w:t>表1  2026年1-8月河北省前十位商品出口统计表</w:t>
            </w:r>
          </w:p>
          <w:tbl>
            <w:tblPr>
              <w:jc w:val="center"/>
              <w:tblW w:w="4998" w:type="pct"/>
              <w:tblBorders>
                <w:top w:val="single" w:sz="6" w:space="0" w:color="auto"/>
                <w:left w:val="none" w:sz="0" w:space="0" w:color="auto"/>
                <w:bottom w:val="single" w:sz="8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498"/>
              <w:gridCol w:w="1588"/>
              <w:gridCol w:w="2993"/>
            </w:tblGrid>
            <w:tr>
              <w:trPr>
                <w:trHeight w:hRule="exact" w:val="565"/>
              </w:trPr>
              <w:tc>
                <w:tcPr>
                  <w:tcW w:w="8840" w:type="dxa"/>
                  <w:gridSpan w:val="3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  <w:t>出口</w:t>
                  </w:r>
                </w:p>
              </w:tc>
            </w:tr>
            <w:tr>
              <w:trPr>
                <w:trHeight w:hRule="exact" w:val="565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</w:tr>
            <w:tr>
              <w:trPr>
                <w:trHeight w:hRule="exact" w:val="451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9"/>
                    <w:ind w:left="0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1529.6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27.5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ind w:firstLineChars="150" w:firstLine="31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其中：汽车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471.1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46.2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ind w:firstLineChars="450" w:firstLine="94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汽车零配件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181.7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11.3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ind w:left="0" w:firstLineChars="50" w:firstLine="10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劳动密集型产品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418.9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14.8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ind w:firstLineChars="150" w:firstLine="31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其中：纺织服装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202.4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6.3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 xml:space="preserve">        家具及其零件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86.3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19.3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 xml:space="preserve">        塑料制品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83.0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28.8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9"/>
                    <w:ind w:left="0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钢材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334.1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42.5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ind w:left="0" w:firstLineChars="50" w:firstLine="10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134.7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17.2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9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基本有机化学品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113.8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58.7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1"/>
                    <w:ind w:left="0" w:firstLineChars="50" w:firstLine="10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成品油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83.7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131.8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2"/>
                    <w:ind w:firstLineChars="50" w:firstLine="105"/>
                    <w:rPr>
                      <w:rFonts w:ascii="Microsoft YaHei" w:eastAsia="宋体" w:hAnsi="Microsoft YaHei"/>
                      <w:color w:val="000000"/>
                      <w:sz w:val="21"/>
                    </w:rPr>
                  </w:pPr>
                  <w:r>
                    <w:rPr>
                      <w:rFonts w:ascii="Microsoft YaHei" w:eastAsia="宋体" w:hAnsi="Microsoft YaHei"/>
                      <w:color w:val="000000"/>
                      <w:sz w:val="21"/>
                    </w:rPr>
                    <w:t>医药材及药品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69.2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-6.3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3"/>
                    <w:ind w:left="0" w:firstLineChars="50" w:firstLine="10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未锻轧铝及铝材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58.3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316.5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ind w:left="0" w:firstLineChars="50" w:firstLine="10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陶瓷产品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38.2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2.3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4380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ind w:left="0" w:firstLineChars="50" w:firstLine="105"/>
                    <w:jc w:val="left"/>
                    <w:rPr>
                      <w:rFonts w:eastAsia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sz w:val="21"/>
                      <w:szCs w:val="21"/>
                      <w:lang w:bidi="ar-SA"/>
                    </w:rPr>
                    <w:t>玻璃及其制品</w:t>
                  </w:r>
                </w:p>
              </w:tc>
              <w:tc>
                <w:tcPr>
                  <w:tcW w:w="1546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32.0 </w:t>
                  </w:r>
                </w:p>
              </w:tc>
              <w:tc>
                <w:tcPr>
                  <w:tcW w:w="291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-9.4 </w:t>
                  </w:r>
                </w:p>
              </w:tc>
            </w:tr>
          </w:tbl>
          <w:p>
            <w:pPr>
              <w:pStyle w:val="54"/>
              <w:spacing w:line="560" w:lineRule="exact"/>
              <w:ind w:firstLineChars="100" w:firstLine="280"/>
              <w:jc w:val="center"/>
              <w:rPr>
                <w:rFonts w:eastAsia="方正小标宋_GBK" w:cs="Times New Roman"/>
                <w:sz w:val="28"/>
                <w:szCs w:val="28"/>
                <w:lang w:bidi="ar-SA"/>
              </w:rPr>
            </w:pPr>
            <w:r>
              <w:rPr>
                <w:rFonts w:eastAsia="方正小标宋_GBK" w:cs="Times New Roman"/>
                <w:sz w:val="28"/>
                <w:szCs w:val="28"/>
                <w:lang w:bidi="ar-SA"/>
              </w:rPr>
              <w:t>表2  2026年1-8月河北省前十位商品进口统计表</w:t>
            </w:r>
          </w:p>
          <w:tbl>
            <w:tblPr>
              <w:jc w:val="center"/>
              <w:tblW w:w="4998" w:type="pct"/>
              <w:tblBorders>
                <w:top w:val="single" w:sz="6" w:space="0" w:color="auto"/>
                <w:left w:val="none" w:sz="0" w:space="0" w:color="auto"/>
                <w:bottom w:val="single" w:sz="8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13"/>
              <w:gridCol w:w="2439"/>
              <w:gridCol w:w="3027"/>
            </w:tblGrid>
            <w:tr>
              <w:trPr>
                <w:trHeight w:hRule="exact" w:val="565"/>
              </w:trPr>
              <w:tc>
                <w:tcPr>
                  <w:tcW w:w="8840" w:type="dxa"/>
                  <w:gridSpan w:val="3"/>
                  <w:tcBorders>
                    <w:tl2br w:val="nil"/>
                    <w:tr2bl w:val="nil"/>
                  </w:tcBorders>
                  <w:noWrap/>
                </w:tcPr>
                <w:p>
                  <w:pPr>
                    <w:pStyle w:val="54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  <w:t>进口</w:t>
                  </w:r>
                </w:p>
              </w:tc>
            </w:tr>
            <w:tr>
              <w:trPr>
                <w:trHeight w:hRule="exact" w:val="565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4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4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4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</w:tr>
            <w:tr>
              <w:trPr>
                <w:trHeight w:hRule="exact" w:val="451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铁矿砂及其精矿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514.4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0.3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原油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492.1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118.8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农产品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249.9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-2.6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150" w:firstLine="31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其中：大豆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138.9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6.1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天然气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230.8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66.3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铜矿砂及其精矿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168.3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654.9 </w:t>
                  </w:r>
                </w:p>
              </w:tc>
            </w:tr>
            <w:tr>
              <w:trPr>
                <w:trHeight w:hRule="exact" w:val="450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机电产品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90.9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1.2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6"/>
                    <w:ind w:firstLineChars="100" w:firstLine="210"/>
                  </w:pPr>
                  <w:r>
                    <w:rPr>
                      <w:rFonts w:eastAsia="宋体"/>
                      <w:sz w:val="21"/>
                      <w:szCs w:val="21"/>
                    </w:rPr>
                    <w:t>其中：电子元件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14.0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13.9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400" w:firstLine="840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电工器材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11.4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9.8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煤及褐煤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34.1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-0.4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5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铝矿砂及其精矿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31.0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-59.1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纸浆、纸及其制品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24.2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6.9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351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5"/>
                    <w:ind w:firstLineChars="50" w:firstLine="105"/>
                    <w:jc w:val="left"/>
                    <w:rPr>
                      <w:rFonts w:eastAsia="宋体"/>
                      <w:sz w:val="21"/>
                      <w:szCs w:val="21"/>
                    </w:rPr>
                  </w:pPr>
                  <w:r>
                    <w:rPr>
                      <w:rFonts w:eastAsia="宋体"/>
                      <w:sz w:val="21"/>
                      <w:szCs w:val="21"/>
                    </w:rPr>
                    <w:t>基本有机化学品</w:t>
                  </w:r>
                </w:p>
              </w:tc>
              <w:tc>
                <w:tcPr>
                  <w:tcW w:w="237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18.6 </w:t>
                  </w:r>
                </w:p>
              </w:tc>
              <w:tc>
                <w:tcPr>
                  <w:tcW w:w="2947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0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-9.7 </w:t>
                  </w:r>
                </w:p>
              </w:tc>
            </w:tr>
          </w:tbl>
          <w:p>
            <w:pPr>
              <w:pStyle w:val="50"/>
              <w:jc w:val="center"/>
              <w:rPr>
                <w:rFonts w:eastAsia="宋体"/>
                <w:sz w:val="24"/>
                <w:lang w:bidi="ar-SA"/>
              </w:rPr>
            </w:pPr>
          </w:p>
        </w:tc>
      </w:tr>
    </w:tbl>
    <w:p/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Microsoft YaHe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华文细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altName w:val="DejaVu Sans"/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等线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character" w:styleId="16">
    <w:name w:val="FollowedHyperlink"/>
    <w:basedOn w:val="10"/>
    <w:rPr>
      <w:color w:val="800080"/>
      <w:u w:val="single"/>
    </w:rPr>
  </w:style>
  <w:style w:type="character" w:styleId="17">
    <w:name w:val="Strong"/>
    <w:basedOn w:val="10"/>
    <w:rPr>
      <w:b/>
    </w:rPr>
  </w:style>
  <w:style w:type="character" w:styleId="18">
    <w:name w:val="Emphasis"/>
    <w:basedOn w:val="10"/>
    <w:rPr>
      <w:i/>
    </w:rPr>
  </w:style>
  <w:style w:type="paragraph" w:styleId="19">
    <w:name w:val="Document Map"/>
    <w:basedOn w:val="0"/>
    <w:pPr>
      <w:shd w:val="clear" w:color="auto" w:fill="000080"/>
    </w:pPr>
  </w:style>
  <w:style w:type="paragraph" w:styleId="20">
    <w:name w:val="Plain Text"/>
    <w:basedOn w:val="0"/>
    <w:rPr>
      <w:rFonts w:ascii="Courier New" w:eastAsia="宋体" w:hAnsi="Courier New"/>
    </w:rPr>
  </w:style>
  <w:style w:type="paragraph" w:styleId="21">
    <w:name w:val="E-mail Signature"/>
    <w:basedOn w:val="0"/>
  </w:style>
  <w:style w:type="paragraph" w:styleId="22">
    <w:name w:val="Normal (Web)"/>
    <w:basedOn w:val="0"/>
    <w:rPr>
      <w:sz w:val="24"/>
    </w:rPr>
  </w:style>
  <w:style w:type="character" w:styleId="23">
    <w:name w:val="HTML Acronym"/>
    <w:basedOn w:val="10"/>
  </w:style>
  <w:style w:type="paragraph" w:styleId="24">
    <w:name w:val="HTML Address"/>
    <w:basedOn w:val="0"/>
    <w:rPr>
      <w:i/>
    </w:rPr>
  </w:style>
  <w:style w:type="character" w:styleId="25">
    <w:name w:val="HTML Cite"/>
    <w:basedOn w:val="10"/>
    <w:rPr>
      <w:i/>
    </w:rPr>
  </w:style>
  <w:style w:type="character" w:styleId="26">
    <w:name w:val="HTML Code"/>
    <w:basedOn w:val="10"/>
    <w:rPr>
      <w:rFonts w:ascii="Courier New" w:hAnsi="Courier New"/>
      <w:sz w:val="20"/>
    </w:rPr>
  </w:style>
  <w:style w:type="character" w:styleId="27">
    <w:name w:val="HTML Definition"/>
    <w:basedOn w:val="10"/>
    <w:rPr>
      <w:i/>
    </w:rPr>
  </w:style>
  <w:style w:type="paragraph" w:styleId="28">
    <w:name w:val="HTML Preformatted"/>
    <w:basedOn w:val="0"/>
    <w:rPr>
      <w:rFonts w:ascii="Courier New" w:hAnsi="Courier New"/>
      <w:sz w:val="20"/>
    </w:rPr>
  </w:style>
  <w:style w:type="character" w:styleId="29">
    <w:name w:val="HTML Sample"/>
    <w:basedOn w:val="10"/>
    <w:rPr>
      <w:rFonts w:ascii="Courier New" w:hAnsi="Courier New"/>
    </w:rPr>
  </w:style>
  <w:style w:type="character" w:styleId="30">
    <w:name w:val="HTML Typewriter"/>
    <w:basedOn w:val="10"/>
    <w:rPr>
      <w:rFonts w:ascii="Courier New" w:hAnsi="Courier New"/>
      <w:sz w:val="20"/>
    </w:rPr>
  </w:style>
  <w:style w:type="character" w:styleId="31">
    <w:name w:val="HTML Variable"/>
    <w:basedOn w:val="10"/>
    <w:rPr>
      <w:i/>
    </w:rPr>
  </w:style>
  <w:style w:type="paragraph" w:styleId="32">
    <w:name w:val="annotation subject"/>
    <w:basedOn w:val="15"/>
    <w:next w:val="15"/>
    <w:rPr>
      <w:b/>
    </w:rPr>
  </w:style>
  <w:style w:type="paragraph" w:styleId="33">
    <w:name w:val="Balloon Text"/>
    <w:basedOn w:val="0"/>
    <w:next w:val="0"/>
    <w:rPr>
      <w:sz w:val="18"/>
    </w:rPr>
  </w:style>
  <w:style w:type="paragraph" w:customStyle="1" w:styleId="34">
    <w:name w:val="正文文字"/>
    <w:basedOn w:val="0"/>
    <w:next w:val="0"/>
    <w:pPr>
      <w:spacing w:after="120"/>
    </w:pPr>
  </w:style>
  <w:style w:type="paragraph" w:customStyle="1" w:styleId="35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36">
    <w:name w:val="正文文字 2"/>
    <w:basedOn w:val="0"/>
    <w:autoRedefine/>
    <w:next w:val="0"/>
    <w:pPr>
      <w:ind w:left="240"/>
    </w:pPr>
    <w:rPr>
      <w:rFonts w:ascii="Arial" w:hAnsi="Arial"/>
      <w:sz w:val="28"/>
    </w:rPr>
  </w:style>
  <w:style w:type="paragraph" w:customStyle="1" w:styleId="37">
    <w:name w:val="样式 2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8">
    <w:name w:val="样式 3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9">
    <w:name w:val="样式 4 三号"/>
    <w:pPr>
      <w:spacing w:line="560" w:lineRule="atLeast"/>
      <w:jc w:val="center"/>
    </w:pPr>
    <w:rPr>
      <w:rFonts w:ascii="方正楷体_GBK" w:eastAsia="方正楷体_GBK" w:cs="宋体"/>
      <w:sz w:val="32"/>
      <w:szCs w:val="32"/>
      <w:lang w:val="en-US" w:eastAsia="zh-CN" w:bidi="ar-SA"/>
    </w:rPr>
  </w:style>
  <w:style w:type="paragraph" w:customStyle="1" w:styleId="40">
    <w:name w:val="样式 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小二"/>
    <w:pPr>
      <w:widowControl w:val="0"/>
      <w:spacing w:line="240" w:lineRule="auto"/>
      <w:jc w:val="both"/>
    </w:pPr>
    <w:rPr>
      <w:rFonts w:ascii="方正小标宋_GBK" w:eastAsia="方正小标宋_GBK" w:cs="方正小标宋_GBK"/>
      <w:color w:val="000000"/>
      <w:kern w:val="2"/>
      <w:sz w:val="36"/>
      <w:szCs w:val="36"/>
      <w:lang w:val="en-US" w:eastAsia="zh-CN" w:bidi="ar-SA"/>
    </w:rPr>
  </w:style>
  <w:style w:type="paragraph" w:customStyle="1" w:styleId="43">
    <w:name w:val="样式 11 磅"/>
    <w:pPr>
      <w:widowControl w:val="0"/>
      <w:spacing w:after="160" w:line="278" w:lineRule="auto"/>
    </w:pPr>
    <w:rPr>
      <w:rFonts w:ascii="等线" w:eastAsia="等线" w:cs="Arial"/>
      <w:kern w:val="2"/>
      <w:sz w:val="22"/>
      <w:szCs w:val="24"/>
      <w:lang w:val="en-US" w:eastAsia="zh-CN" w:bidi="ar-SA"/>
    </w:rPr>
  </w:style>
  <w:style w:type="paragraph" w:customStyle="1" w:styleId="44">
    <w:name w:val="样式 2 11 磅"/>
    <w:pPr>
      <w:widowControl w:val="0"/>
      <w:spacing w:after="160" w:line="278" w:lineRule="auto"/>
    </w:pPr>
    <w:rPr>
      <w:rFonts w:ascii="等线" w:eastAsia="等线" w:cs="Arial"/>
      <w:kern w:val="2"/>
      <w:sz w:val="22"/>
      <w:szCs w:val="24"/>
      <w:lang w:val="en-US" w:eastAsia="zh-CN" w:bidi="ar-SA"/>
    </w:rPr>
  </w:style>
  <w:style w:type="paragraph" w:customStyle="1" w:styleId="45">
    <w:name w:val="样式 5 11 磅"/>
    <w:pPr>
      <w:widowControl w:val="0"/>
      <w:spacing w:after="160" w:line="278" w:lineRule="auto"/>
    </w:pPr>
    <w:rPr>
      <w:rFonts w:ascii="等线" w:eastAsia="等线" w:cs="Arial"/>
      <w:kern w:val="2"/>
      <w:sz w:val="22"/>
      <w:szCs w:val="24"/>
      <w:lang w:val="en-US" w:eastAsia="zh-CN" w:bidi="ar-SA"/>
    </w:rPr>
  </w:style>
  <w:style w:type="paragraph" w:customStyle="1" w:styleId="46">
    <w:name w:val="样式 7 11 磅"/>
    <w:pPr>
      <w:widowControl w:val="0"/>
      <w:spacing w:after="160" w:line="278" w:lineRule="auto"/>
    </w:pPr>
    <w:rPr>
      <w:rFonts w:ascii="等线" w:eastAsia="等线" w:cs="Arial"/>
      <w:kern w:val="2"/>
      <w:sz w:val="22"/>
      <w:szCs w:val="24"/>
      <w:lang w:val="en-US" w:eastAsia="zh-CN" w:bidi="ar-SA"/>
    </w:rPr>
  </w:style>
  <w:style w:type="paragraph" w:customStyle="1" w:styleId="47">
    <w:name w:val="样式 16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8">
    <w:name w:val="样式 38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9">
    <w:name w:val="样式 4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0">
    <w:name w:val="样式 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1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2">
    <w:name w:val="样式 4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3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4">
    <w:name w:val="样式 45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5">
    <w:name w:val="样式 4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6">
    <w:name w:val="样式 4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7">
    <w:name w:val="样式 8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  <w:style w:type="paragraph" w:customStyle="1" w:styleId="58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3</Pages>
  <Words>1118</Words>
  <Characters>1657</Characters>
  <Lines>139</Lines>
  <Paragraphs>102</Paragraphs>
  <CharactersWithSpaces>1733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解博匀</cp:lastModifiedBy>
  <cp:revision>1</cp:revision>
  <dcterms:created xsi:type="dcterms:W3CDTF">2026-09-20T00:47:58Z</dcterms:created>
  <dcterms:modified xsi:type="dcterms:W3CDTF">2026-09-20T09:55:27Z</dcterms:modified>
</cp:coreProperties>
</file>