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600" w:lineRule="exact"/>
        <w:ind w:right="34"/>
        <w:jc w:val="center"/>
        <w:rPr>
          <w:rFonts w:ascii="方正小标宋_GBK" w:eastAsia="方正小标宋_GBK" w:hint="eastAsia"/>
          <w:spacing w:val="-4"/>
          <w:sz w:val="44"/>
          <w:szCs w:val="44"/>
        </w:rPr>
      </w:pPr>
      <w:bookmarkStart w:id="0" w:name="wpds__标题__Text"/>
      <w:bookmarkStart w:id="1" w:name="_GoBack"/>
      <w:bookmarkEnd w:id="1"/>
      <w:r>
        <w:rPr>
          <w:rFonts w:ascii="方正小标宋_GBK" w:eastAsia="方正小标宋_GBK" w:cs="Times New Roman" w:hint="eastAsia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2025年1-4月河北省进出口</w:t>
      </w:r>
      <w:bookmarkEnd w:id="0"/>
      <w:r>
        <w:rPr>
          <w:rFonts w:ascii="方正小标宋_GBK" w:eastAsia="方正小标宋_GBK" w:cs="Times New Roman"/>
          <w:snapToGrid/>
          <w:color w:val="auto"/>
          <w:spacing w:val="-4"/>
          <w:w w:val="100"/>
          <w:kern w:val="2"/>
          <w:position w:val="0"/>
          <w:sz w:val="44"/>
          <w:szCs w:val="44"/>
          <w:u w:val="none" w:color="auto"/>
          <w:vertAlign w:val="baseline"/>
          <w:em w:val="none"/>
          <w:lang w:bidi="ar-SA"/>
        </w:rPr>
        <w:t>情况</w:t>
      </w:r>
    </w:p>
    <w:p>
      <w:pPr>
        <w:ind w:right="34"/>
        <w:jc w:val="center"/>
        <w:rPr>
          <w:rFonts w:ascii="方正仿宋_GBK" w:eastAsia="方正小标宋_GBK" w:hAnsi="方正仿宋_GBK"/>
          <w:spacing w:val="-4"/>
        </w:rPr>
      </w:pPr>
    </w:p>
    <w:p>
      <w:pPr>
        <w:pStyle w:val="30"/>
        <w:adjustRightInd w:val="0"/>
        <w:snapToGrid w:val="0"/>
        <w:spacing w:line="560" w:lineRule="exact"/>
        <w:ind w:firstLineChars="200" w:firstLine="640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一、2025年</w:t>
      </w:r>
      <w:r>
        <w:rPr>
          <w:rFonts w:ascii="方正黑体_GBK" w:eastAsia="方正黑体_GBK" w:cs="Times New Roman"/>
          <w:lang w:bidi="ar-SA"/>
        </w:rPr>
        <w:t>1-4月</w:t>
      </w:r>
      <w:r>
        <w:rPr>
          <w:rFonts w:ascii="方正黑体_GBK" w:eastAsia="方正黑体_GBK" w:cs="Times New Roman" w:hint="eastAsia"/>
          <w:lang w:bidi="ar-SA"/>
        </w:rPr>
        <w:t>河北省进出口情况</w:t>
      </w:r>
    </w:p>
    <w:p>
      <w:pPr>
        <w:pStyle w:val="31"/>
        <w:adjustRightInd w:val="0"/>
        <w:snapToGrid w:val="0"/>
        <w:spacing w:line="560" w:lineRule="exact"/>
        <w:ind w:left="0" w:firstLineChars="200" w:firstLine="640"/>
        <w:rPr>
          <w:rFonts w:cs="Times New Roman"/>
          <w:color w:val="auto"/>
          <w:spacing w:val="0"/>
          <w:vertAlign w:val="baseline"/>
          <w:lang w:bidi="ar-SA"/>
        </w:rPr>
      </w:pPr>
      <w:r>
        <w:rPr>
          <w:rFonts w:cs="Times New Roman"/>
          <w:color w:val="auto"/>
          <w:spacing w:val="0"/>
          <w:vertAlign w:val="baseline"/>
          <w:lang w:bidi="ar-SA"/>
        </w:rPr>
        <w:t>2025年前4个月，河北省外贸进出口总值1838.7亿元人民币（下同），同比（下同）下降9.1%。其中，出口1155.3亿元，下降4.2%；进口683.4亿元，下降16.2%</w:t>
      </w:r>
      <w:r>
        <w:rPr>
          <w:rFonts w:cs="Times New Roman"/>
          <w:kern w:val="2"/>
          <w:lang w:bidi="ar-SA"/>
        </w:rPr>
        <w:t>。</w:t>
      </w:r>
      <w:r>
        <w:rPr>
          <w:rFonts w:cs="Times New Roman"/>
          <w:color w:val="auto"/>
          <w:spacing w:val="0"/>
          <w:vertAlign w:val="baseline"/>
          <w:lang w:bidi="ar-SA"/>
        </w:rPr>
        <w:t>4月当月进出口473.9亿元，下降7.9%，环比增长5.7%。其中，出口321.6亿元，下降3.9%，环比增长8.2%；进口152.3亿元，下降15.3%，环比增长0.8%。</w:t>
      </w:r>
    </w:p>
    <w:p>
      <w:pPr>
        <w:pStyle w:val="31"/>
        <w:adjustRightInd w:val="0"/>
        <w:snapToGrid w:val="0"/>
        <w:spacing w:line="560" w:lineRule="exact"/>
        <w:ind w:left="0" w:firstLineChars="200" w:firstLine="640"/>
        <w:rPr>
          <w:rFonts w:ascii="方正黑体_GBK" w:eastAsia="方正黑体_GBK" w:cs="Times New Roman" w:hint="eastAsia"/>
          <w:lang w:bidi="ar-SA"/>
        </w:rPr>
      </w:pPr>
      <w:r>
        <w:rPr>
          <w:rFonts w:ascii="方正黑体_GBK" w:eastAsia="方正黑体_GBK" w:cs="Times New Roman" w:hint="eastAsia"/>
          <w:lang w:bidi="ar-SA"/>
        </w:rPr>
        <w:t>二、2025年</w:t>
      </w:r>
      <w:r>
        <w:rPr>
          <w:rFonts w:ascii="方正黑体_GBK" w:eastAsia="方正黑体_GBK" w:cs="Times New Roman"/>
          <w:lang w:bidi="ar-SA"/>
        </w:rPr>
        <w:t>1-4月</w:t>
      </w:r>
      <w:r>
        <w:rPr>
          <w:rFonts w:ascii="方正黑体_GBK" w:eastAsia="方正黑体_GBK" w:cs="Times New Roman" w:hint="eastAsia"/>
          <w:lang w:bidi="ar-SA"/>
        </w:rPr>
        <w:t>河北省进出口主要特点</w:t>
      </w:r>
    </w:p>
    <w:p>
      <w:pPr>
        <w:pStyle w:val="35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cs="Times New Roman" w:hint="eastAsia"/>
          <w:b/>
          <w:lang w:bidi="ar-SA"/>
        </w:rPr>
        <w:t>（一）以一般贸易为主。</w:t>
      </w:r>
      <w:r>
        <w:rPr>
          <w:rFonts w:ascii="Times New Roman" w:eastAsia="方正仿宋_GBK" w:cs="Times New Roman" w:hAnsi="Times New Roman"/>
          <w:lang w:bidi="ar-SA"/>
        </w:rPr>
        <w:t>一般贸易进出口1627亿元，下降9.7%，占进出口总值的88.5%。保税物流进出口98.1亿元，下降8.3%。加工贸易进出口63亿元，下降2.3%。</w:t>
      </w:r>
    </w:p>
    <w:p>
      <w:pPr>
        <w:pStyle w:val="35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cs="Times New Roman" w:hint="eastAsia"/>
          <w:b/>
          <w:lang w:bidi="ar-SA"/>
        </w:rPr>
        <w:t>（二）民营企业占比超7成。</w:t>
      </w:r>
      <w:r>
        <w:rPr>
          <w:rFonts w:ascii="Times New Roman" w:eastAsia="方正仿宋_GBK" w:cs="Times New Roman" w:hAnsi="Times New Roman"/>
          <w:lang w:bidi="ar-SA"/>
        </w:rPr>
        <w:t>民营企业进出口1330.4亿元，增长1.1%，占进出口总值的72.4%。国有企业进出口270.3亿元，下降29.6%。外商投资企业进出口236.8亿元，下降26.4%。</w:t>
      </w:r>
    </w:p>
    <w:p>
      <w:pPr>
        <w:pStyle w:val="36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lang w:bidi="ar-SA"/>
        </w:rPr>
      </w:pPr>
      <w:r>
        <w:rPr>
          <w:rFonts w:cs="Times New Roman" w:hint="eastAsia"/>
          <w:b/>
          <w:lang w:bidi="ar-SA"/>
        </w:rPr>
        <w:t>（三）澳大利亚为第一大贸易伙伴。</w:t>
      </w:r>
      <w:r>
        <w:rPr>
          <w:rFonts w:ascii="Times New Roman" w:eastAsia="方正仿宋_GBK" w:cs="Times New Roman" w:hAnsi="Times New Roman"/>
          <w:lang w:bidi="ar-SA"/>
        </w:rPr>
        <w:t>对澳大利亚进出口226.8亿元，下降26.1%，占进出口总值的12.3%。</w:t>
      </w:r>
      <w:r>
        <w:rPr>
          <w:rFonts w:ascii="Times New Roman" w:eastAsia="方正仿宋_GBK" w:cs="Times New Roman" w:hAnsi="Times New Roman"/>
          <w:kern w:val="2"/>
          <w:lang w:bidi="ar-SA"/>
        </w:rPr>
        <w:t>对东盟进出口208.5亿元，下降19.3%。</w:t>
      </w:r>
      <w:r>
        <w:rPr>
          <w:rFonts w:ascii="Times New Roman" w:eastAsia="方正仿宋_GBK" w:cs="Times New Roman" w:hAnsi="Times New Roman"/>
          <w:lang w:bidi="ar-SA"/>
        </w:rPr>
        <w:t>对欧盟进出口184亿元，下降27.8%。对美国进出口159.3亿元，受一季度大豆</w:t>
      </w:r>
      <w:r>
        <w:rPr>
          <w:rFonts w:ascii="Times New Roman" w:eastAsia="方正仿宋_GBK" w:cs="Times New Roman" w:hAnsi="Times New Roman" w:hint="eastAsia"/>
          <w:lang w:bidi="ar-SA"/>
        </w:rPr>
        <w:t>“</w:t>
      </w:r>
      <w:r>
        <w:rPr>
          <w:rFonts w:ascii="Times New Roman" w:eastAsia="方正仿宋_GBK" w:cs="Times New Roman" w:hAnsi="Times New Roman"/>
          <w:lang w:bidi="ar-SA"/>
        </w:rPr>
        <w:t>抢进口</w:t>
      </w:r>
      <w:r>
        <w:rPr>
          <w:rFonts w:ascii="Times New Roman" w:eastAsia="方正仿宋_GBK" w:cs="Times New Roman" w:hAnsi="Times New Roman" w:hint="eastAsia"/>
          <w:lang w:bidi="ar-SA"/>
        </w:rPr>
        <w:t>”</w:t>
      </w:r>
      <w:r>
        <w:rPr>
          <w:rFonts w:ascii="Times New Roman" w:eastAsia="方正仿宋_GBK" w:cs="Times New Roman" w:hAnsi="Times New Roman"/>
          <w:lang w:bidi="ar-SA"/>
        </w:rPr>
        <w:t>影响，增长1.5%，4月大豆</w:t>
      </w:r>
      <w:r>
        <w:rPr>
          <w:rFonts w:ascii="Times New Roman" w:eastAsia="方正仿宋_GBK" w:cs="Times New Roman" w:hAnsi="Times New Roman" w:hint="eastAsia"/>
          <w:lang w:bidi="ar-SA"/>
        </w:rPr>
        <w:t>“</w:t>
      </w:r>
      <w:r>
        <w:rPr>
          <w:rFonts w:ascii="Times New Roman" w:eastAsia="方正仿宋_GBK" w:cs="Times New Roman" w:hAnsi="Times New Roman"/>
          <w:lang w:bidi="ar-SA"/>
        </w:rPr>
        <w:t>抢进口</w:t>
      </w:r>
      <w:r>
        <w:rPr>
          <w:rFonts w:ascii="Times New Roman" w:eastAsia="方正仿宋_GBK" w:cs="Times New Roman" w:hAnsi="Times New Roman" w:hint="eastAsia"/>
          <w:lang w:bidi="ar-SA"/>
        </w:rPr>
        <w:t>”</w:t>
      </w:r>
      <w:r>
        <w:rPr>
          <w:rFonts w:ascii="Times New Roman" w:eastAsia="方正仿宋_GBK" w:cs="Times New Roman" w:hAnsi="Times New Roman"/>
          <w:lang w:bidi="ar-SA"/>
        </w:rPr>
        <w:t>消退，当月对美进出口32.9亿元，下降22.2%。对巴西进出口123.9亿元，下降8.7%。对俄罗斯进出口99.4亿元，下降28.7%。</w:t>
      </w:r>
      <w:r>
        <w:rPr>
          <w:rFonts w:ascii="Times New Roman" w:eastAsia="方正仿宋_GBK" w:cs="Times New Roman" w:hAnsi="Times New Roman"/>
          <w:kern w:val="2"/>
          <w:lang w:bidi="ar-SA"/>
        </w:rPr>
        <w:t>此外对</w:t>
      </w:r>
      <w:r>
        <w:rPr>
          <w:rFonts w:ascii="Times New Roman" w:eastAsia="方正仿宋_GBK" w:cs="Times New Roman" w:hAnsi="Times New Roman"/>
          <w:lang w:bidi="ar-SA"/>
        </w:rPr>
        <w:t>共建</w:t>
      </w:r>
      <w:r>
        <w:rPr>
          <w:rFonts w:ascii="方正仿宋_GBK" w:eastAsia="方正仿宋_GBK" w:cs="Times New Roman" w:hint="eastAsia"/>
          <w:kern w:val="2"/>
          <w:lang w:bidi="ar-SA"/>
        </w:rPr>
        <w:t>“一带一路”</w:t>
      </w:r>
      <w:r>
        <w:rPr>
          <w:rFonts w:ascii="Times New Roman" w:eastAsia="方正仿宋_GBK" w:cs="Times New Roman" w:hAnsi="Times New Roman"/>
          <w:lang w:bidi="ar-SA"/>
        </w:rPr>
        <w:t>国家</w:t>
      </w:r>
      <w:r>
        <w:rPr>
          <w:rFonts w:ascii="Times New Roman" w:eastAsia="方正仿宋_GBK" w:cs="Times New Roman" w:hAnsi="Times New Roman"/>
          <w:kern w:val="2"/>
          <w:lang w:bidi="ar-SA"/>
        </w:rPr>
        <w:t>进出口1063.8亿元，下降3.7%。</w:t>
      </w:r>
    </w:p>
    <w:p>
      <w:pPr>
        <w:pStyle w:val="37"/>
        <w:adjustRightInd w:val="0"/>
        <w:snapToGrid w:val="0"/>
        <w:spacing w:line="560" w:lineRule="exact"/>
        <w:ind w:left="0" w:firstLineChars="200" w:firstLine="640"/>
        <w:rPr>
          <w:rFonts w:cs="Times New Roman"/>
          <w:lang w:bidi="ar-SA"/>
        </w:rPr>
      </w:pPr>
      <w:r>
        <w:rPr>
          <w:rFonts w:ascii="方正楷体_GBK" w:eastAsia="方正楷体_GBK" w:cs="Times New Roman" w:hint="eastAsia"/>
          <w:b/>
          <w:lang w:bidi="ar-SA"/>
        </w:rPr>
        <w:t>（四）</w:t>
      </w:r>
      <w:r>
        <w:rPr>
          <w:rFonts w:ascii="方正楷体_GBK" w:eastAsia="方正楷体_GBK" w:cs="Times New Roman" w:hint="eastAsia"/>
          <w:b/>
          <w:kern w:val="0"/>
          <w:lang w:bidi="ar-SA"/>
        </w:rPr>
        <w:t>机电产品出口居首。</w:t>
      </w:r>
      <w:r>
        <w:rPr>
          <w:rFonts w:cs="Times New Roman"/>
          <w:color w:val="000000"/>
          <w:kern w:val="0"/>
          <w:lang w:bidi="ar-SA"/>
        </w:rPr>
        <w:t>机电产品出口568.9亿元，下降7.6%</w:t>
      </w:r>
      <w:r>
        <w:rPr>
          <w:rFonts w:cs="Times New Roman"/>
          <w:lang w:bidi="ar-SA"/>
        </w:rPr>
        <w:t>，占出口总值的49.2%，其中汽车出口168.5亿元，下降23.8%（出口17万辆，减少3.9%）。劳动密集型产品出口169.1亿元，下降9.8%，其中纺织服装出口86.4亿元，下降5.9%。钢材出口107.3亿元，增长5.3%，其中钢铁板材出口56.4亿元，增长0.5%。此外，</w:t>
      </w:r>
      <w:r>
        <w:rPr>
          <w:rFonts w:ascii="方正仿宋_GBK" w:cs="Times New Roman" w:hint="eastAsia"/>
          <w:lang w:bidi="ar-SA"/>
        </w:rPr>
        <w:t>“新三样”</w:t>
      </w:r>
      <w:r>
        <w:rPr>
          <w:rFonts w:cs="Times New Roman"/>
          <w:lang w:bidi="ar-SA"/>
        </w:rPr>
        <w:t>产品出口83.3亿元，下降51.5%，其中电动汽车出口75.6亿元，下降49.1%（出口6.2万辆，减少35%），光伏产品出口5.9亿元，下降73.3%，锂离子蓄电池出口1.8亿元，增长61.1%。</w:t>
      </w:r>
    </w:p>
    <w:p>
      <w:pPr>
        <w:pStyle w:val="38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cs="Times New Roman" w:hint="eastAsia"/>
          <w:b/>
          <w:lang w:bidi="ar-SA"/>
        </w:rPr>
        <w:t>（五）大宗商品进口居首。</w:t>
      </w:r>
      <w:r>
        <w:rPr>
          <w:rFonts w:ascii="Times New Roman" w:eastAsia="方正仿宋_GBK" w:cs="Times New Roman" w:hAnsi="Times New Roman"/>
          <w:lang w:bidi="ar-SA"/>
        </w:rPr>
        <w:t>进口大宗商品468亿元，下降19.1%，占进口总值的68.5%。其中进口</w:t>
      </w:r>
      <w:r>
        <w:rPr>
          <w:rFonts w:ascii="Times New Roman" w:eastAsia="方正仿宋_GBK" w:cs="Times New Roman" w:hAnsi="Times New Roman"/>
          <w:kern w:val="2"/>
          <w:lang w:bidi="ar-SA"/>
        </w:rPr>
        <w:t>铁矿砂及其精矿3438.8万吨，减少16.6%，价值248.7亿元，下降30.2%，平均价格723.2元/吨，下跌16.3%；进口天然气204.4万吨，减少12.5%，价值80.3亿元，下降25.6%，平均价格3927.7元/吨，下跌15%；进口大豆123.9万吨，增加48</w:t>
      </w:r>
      <w:r>
        <w:rPr>
          <w:rFonts w:ascii="Times New Roman" w:eastAsia="方正仿宋_GBK" w:cs="Times New Roman" w:hAnsi="Times New Roman"/>
          <w:lang w:bidi="ar-SA"/>
        </w:rPr>
        <w:t>.6%，</w:t>
      </w:r>
      <w:r>
        <w:rPr>
          <w:rFonts w:ascii="Times New Roman" w:eastAsia="方正仿宋_GBK" w:cs="Times New Roman" w:hAnsi="Times New Roman"/>
          <w:kern w:val="2"/>
          <w:lang w:bidi="ar-SA"/>
        </w:rPr>
        <w:t>价值40.8亿元，增长24.7%，平均价格3288.6元/吨，下跌16%；进口铝矿砂及其精矿578.2万吨，增加10.1%，价值35.7亿元，增长43.3%，平均价格616.9元/吨，上涨30.1%；进口原油74.7万吨，增加14.7%，价值27.1亿元，下降1.7%，平均价格3630.4元/吨，下跌14.3%；进口煤及褐煤254.5万吨，增加64%，价值20.1亿元，增长15.3%，平均价格791.5元/吨，下跌29.7%。</w:t>
      </w:r>
    </w:p>
    <w:p>
      <w:pPr>
        <w:pStyle w:val="38"/>
        <w:widowControl w:val="0"/>
        <w:adjustRightInd w:val="0"/>
        <w:snapToGrid w:val="0"/>
        <w:spacing w:line="560" w:lineRule="exact"/>
        <w:ind w:left="0" w:firstLineChars="200" w:firstLine="640"/>
        <w:jc w:val="both"/>
        <w:rPr>
          <w:rFonts w:ascii="Times New Roman" w:eastAsia="方正仿宋_GBK" w:cs="Times New Roman" w:hAnsi="Times New Roman"/>
          <w:kern w:val="2"/>
          <w:lang w:bidi="ar-SA"/>
        </w:rPr>
      </w:pPr>
      <w:r>
        <w:rPr>
          <w:rFonts w:ascii="Times New Roman" w:eastAsia="方正仿宋_GBK" w:cs="Times New Roman" w:hAnsi="Times New Roman"/>
          <w:kern w:val="2"/>
          <w:lang w:bidi="ar-SA"/>
        </w:rPr>
        <w:t>此外，进口农产品97.5亿元，下降0.6%；进口机电产品44.6亿元，增长5.8%；进口沥青32.4亿元，下降42.8%；进口高新技术产品（与机电产品有交叉）22.3亿元，增长8%。</w:t>
      </w:r>
      <w:r>
        <w:rPr>
          <w:rFonts w:ascii="Times New Roman" w:eastAsia="方正仿宋_GBK" w:cs="Times New Roman" w:hAnsi="Times New Roman"/>
          <w:lang w:bidi="ar-SA"/>
        </w:rPr>
        <w:t>（详见表1）</w:t>
      </w:r>
    </w:p>
    <w:p>
      <w:pPr>
        <w:pStyle w:val="39"/>
        <w:spacing w:line="560" w:lineRule="exact"/>
        <w:ind w:left="0" w:firstLineChars="100" w:firstLine="320"/>
        <w:jc w:val="center"/>
        <w:rPr>
          <w:rFonts w:ascii="黑体" w:eastAsia="黑体" w:cs="方正仿宋_GBK" w:hint="eastAsia"/>
          <w:szCs w:val="20"/>
          <w:lang w:bidi="ar-SA"/>
        </w:rPr>
      </w:pPr>
      <w:r>
        <w:rPr>
          <w:rFonts w:eastAsia="黑体" w:hint="eastAsia"/>
        </w:rPr>
        <w:t>表</w:t>
      </w:r>
      <w:r>
        <w:rPr>
          <w:rFonts w:eastAsia="黑体"/>
        </w:rPr>
        <w:t xml:space="preserve">1  </w:t>
      </w:r>
      <w:r>
        <w:rPr>
          <w:rFonts w:ascii="黑体" w:eastAsia="黑体" w:cs="Times New Roman" w:hint="eastAsia"/>
          <w:lang w:bidi="ar-SA"/>
        </w:rPr>
        <w:t>2025年</w:t>
      </w:r>
      <w:r>
        <w:rPr>
          <w:rFonts w:ascii="黑体" w:eastAsia="黑体" w:cs="Times New Roman"/>
          <w:lang w:bidi="ar-SA"/>
        </w:rPr>
        <w:t>1-4月</w:t>
      </w:r>
      <w:r>
        <w:rPr>
          <w:rFonts w:ascii="黑体" w:eastAsia="黑体" w:cs="方正仿宋_GBK" w:hint="eastAsia"/>
          <w:lang w:bidi="ar-SA"/>
        </w:rPr>
        <w:t>河北省前十位商品进出口统计表</w:t>
      </w:r>
    </w:p>
    <w:p>
      <w:pPr>
        <w:pStyle w:val="39"/>
        <w:spacing w:line="560" w:lineRule="exact"/>
        <w:ind w:left="0"/>
        <w:jc w:val="right"/>
        <w:rPr>
          <w:rFonts w:ascii="黑体" w:eastAsia="黑体" w:hint="eastAsia"/>
        </w:rPr>
      </w:pPr>
      <w:r>
        <w:rPr>
          <w:rFonts w:ascii="黑体" w:eastAsia="黑体" w:hint="eastAsia"/>
          <w:szCs w:val="20"/>
        </w:rPr>
        <w:t>单位：亿元人民币</w:t>
      </w:r>
    </w:p>
    <w:tbl>
      <w:tblPr>
        <w:jc w:val="center"/>
        <w:tblW w:w="90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72"/>
        <w:gridCol w:w="1050"/>
        <w:gridCol w:w="1375"/>
        <w:gridCol w:w="1750"/>
        <w:gridCol w:w="1225"/>
        <w:gridCol w:w="1287"/>
      </w:tblGrid>
      <w:tr>
        <w:trPr>
          <w:trHeight w:val="454"/>
        </w:trPr>
        <w:tc>
          <w:tcPr>
            <w:tcW w:w="479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出口</w:t>
            </w:r>
          </w:p>
        </w:tc>
        <w:tc>
          <w:tcPr>
            <w:tcW w:w="426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  <w:noWrap/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进口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商品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金额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同比（</w:t>
            </w:r>
            <w:r>
              <w:rPr>
                <w:rFonts w:eastAsia="宋体"/>
                <w:sz w:val="21"/>
                <w:szCs w:val="21"/>
              </w:rPr>
              <w:t>±%</w:t>
            </w:r>
            <w:r>
              <w:rPr>
                <w:rFonts w:eastAsia="宋体" w:hint="eastAsia"/>
                <w:sz w:val="21"/>
                <w:szCs w:val="21"/>
              </w:rPr>
              <w:t>）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商品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金额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adjustRightInd w:val="0"/>
              <w:snapToGrid w:val="0"/>
              <w:spacing w:line="560" w:lineRule="exact"/>
              <w:jc w:val="center"/>
              <w:rPr>
                <w:rFonts w:eastAsia="宋体"/>
                <w:sz w:val="21"/>
                <w:szCs w:val="21"/>
              </w:rPr>
            </w:pPr>
            <w:r>
              <w:rPr>
                <w:rFonts w:eastAsia="宋体" w:hint="eastAsia"/>
                <w:sz w:val="21"/>
                <w:szCs w:val="21"/>
              </w:rPr>
              <w:t>同比（</w:t>
            </w:r>
            <w:r>
              <w:rPr>
                <w:rFonts w:eastAsia="宋体"/>
                <w:sz w:val="21"/>
                <w:szCs w:val="21"/>
              </w:rPr>
              <w:t>±%</w:t>
            </w:r>
            <w:r>
              <w:rPr>
                <w:rFonts w:eastAsia="宋体" w:hint="eastAsia"/>
                <w:sz w:val="21"/>
                <w:szCs w:val="21"/>
              </w:rPr>
              <w:t>）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jc w:val="center"/>
              <w:rPr>
                <w:rFonts w:ascii="宋体" w:eastAsia="宋体" w:cs="Arial" w:hint="eastAsia"/>
                <w:color w:val="000000"/>
                <w:sz w:val="21"/>
                <w:u w:val="none"/>
                <w:vertAlign w:val="baseline"/>
                <w:lang w:bidi="ar-SA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机电产品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568.9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-7.6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铁矿砂及其精矿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248.7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-30.2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钢材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107.3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5.3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农产品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97.5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-0.6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宋体" w:eastAsia="宋体" w:cs="Arial" w:hint="eastAsia"/>
                <w:color w:val="000000"/>
                <w:sz w:val="21"/>
                <w:u w:val="none"/>
                <w:vertAlign w:val="baseline"/>
                <w:lang w:bidi="ar-SA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纺织服装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86.4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-5.9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0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天然气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80.3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-25.6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高新技术产品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71.4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-8.9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机电产品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44.6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5.8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农产品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56.3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10.0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大豆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40.8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24.7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  <w:lang w:bidi="ar-SA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基本有机化学品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37.0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7.7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1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铝矿砂及其精矿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35.7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43.3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  <w:lang w:bidi="ar-SA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医药材及药品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36.6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10.1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2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>沥青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32.4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-42.8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家具及其零件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34.0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-4.3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3"/>
              <w:jc w:val="center"/>
              <w:rPr>
                <w:rFonts w:ascii="Microsoft YaHei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原油</w:t>
            </w:r>
            <w:r>
              <w:rPr>
                <w:rFonts w:ascii="Microsoft YaHei" w:hAnsi="微软雅黑"/>
                <w:color w:val="000000"/>
                <w:sz w:val="21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27.1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-1.7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  <w:lang w:bidi="ar-SA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塑料制品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30.9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-12.9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3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  <w:szCs w:val="21"/>
              </w:rPr>
              <w:t>高新技术产品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22.3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8.0 </w:t>
            </w:r>
          </w:p>
        </w:tc>
      </w:tr>
      <w:tr>
        <w:trPr>
          <w:trHeight w:val="454"/>
        </w:trPr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39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陶瓷产品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17.7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-11.4 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noWrap/>
            <w:vAlign w:val="center"/>
          </w:tcPr>
          <w:p>
            <w:pPr>
              <w:pStyle w:val="43"/>
              <w:jc w:val="center"/>
              <w:rPr>
                <w:rFonts w:ascii="Microsoft YaHei" w:eastAsia="宋体" w:hAnsi="微软雅黑"/>
                <w:color w:val="000000"/>
                <w:sz w:val="21"/>
              </w:rPr>
            </w:pPr>
            <w:r>
              <w:rPr>
                <w:rFonts w:ascii="宋体" w:eastAsia="宋体" w:hint="eastAsia"/>
                <w:color w:val="000000"/>
                <w:sz w:val="21"/>
              </w:rPr>
              <w:t>煤及褐煤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20.1 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nil"/>
              <w:tl2br w:val="nil"/>
              <w:tr2bl w:val="nil"/>
            </w:tcBorders>
            <w:vAlign w:val="center"/>
          </w:tcPr>
          <w:p>
            <w:pPr>
              <w:pStyle w:val="39"/>
              <w:jc w:val="center"/>
              <w:rPr>
                <w:rFonts w:ascii="宋体" w:eastAsia="宋体" w:cs="宋体" w:hint="eastAsia"/>
                <w:color w:val="000000"/>
                <w:sz w:val="24"/>
                <w:lang w:bidi="ar-SA"/>
              </w:rPr>
            </w:pPr>
            <w:r>
              <w:rPr>
                <w:rFonts w:ascii="宋体" w:eastAsia="宋体" w:cs="宋体" w:hint="eastAsia"/>
                <w:color w:val="000000"/>
                <w:sz w:val="24"/>
                <w:lang w:bidi="ar-SA"/>
              </w:rPr>
              <w:t xml:space="preserve">15.3 </w:t>
            </w:r>
          </w:p>
        </w:tc>
      </w:tr>
    </w:tbl>
    <w:p/>
    <w:sectPr>
      <w:pgSz w:w="11907" w:h="16839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黑体">
    <w:altName w:val="华文细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altName w:val="华文宋体"/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Microsoft YaHei">
    <w:altName w:val="Times New Roman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微软雅黑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bestFit" w:percent="100"/>
  <w:doNotDisplayPageBoundaries/>
  <w:displayBackgroundShape/>
  <w:bordersDoNotSurroundHeader/>
  <w:bordersDoNotSurroundFooter/>
  <w:trackRevisions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2"/>
    <w:basedOn w:val="0"/>
    <w:autoRedefine/>
    <w:next w:val="0"/>
    <w:pPr>
      <w:ind w:left="420"/>
    </w:pPr>
  </w:style>
  <w:style w:type="paragraph" w:styleId="16">
    <w:name w:val="toc 3"/>
    <w:basedOn w:val="0"/>
    <w:autoRedefine/>
    <w:next w:val="0"/>
    <w:pPr>
      <w:ind w:left="840"/>
    </w:pPr>
  </w:style>
  <w:style w:type="paragraph" w:styleId="17">
    <w:name w:val="toc 4"/>
    <w:basedOn w:val="0"/>
    <w:autoRedefine/>
    <w:next w:val="0"/>
    <w:pPr>
      <w:ind w:left="1260"/>
    </w:pPr>
  </w:style>
  <w:style w:type="paragraph" w:styleId="18">
    <w:name w:val="toc 5"/>
    <w:basedOn w:val="0"/>
    <w:autoRedefine/>
    <w:next w:val="0"/>
    <w:pPr>
      <w:ind w:left="1680"/>
    </w:pPr>
  </w:style>
  <w:style w:type="paragraph" w:styleId="19">
    <w:name w:val="toc 6"/>
    <w:basedOn w:val="0"/>
    <w:autoRedefine/>
    <w:next w:val="0"/>
    <w:pPr>
      <w:ind w:left="2100"/>
    </w:pPr>
  </w:style>
  <w:style w:type="paragraph" w:styleId="20">
    <w:name w:val="toc 7"/>
    <w:basedOn w:val="0"/>
    <w:autoRedefine/>
    <w:next w:val="0"/>
    <w:pPr>
      <w:ind w:left="2520"/>
    </w:pPr>
  </w:style>
  <w:style w:type="paragraph" w:styleId="21">
    <w:name w:val="toc 8"/>
    <w:basedOn w:val="0"/>
    <w:autoRedefine/>
    <w:next w:val="0"/>
    <w:pPr>
      <w:ind w:left="2940"/>
    </w:pPr>
  </w:style>
  <w:style w:type="paragraph" w:styleId="22">
    <w:name w:val="toc 9"/>
    <w:basedOn w:val="0"/>
    <w:autoRedefine/>
    <w:next w:val="0"/>
    <w:pPr>
      <w:ind w:left="3360"/>
    </w:pPr>
  </w:style>
  <w:style w:type="paragraph" w:styleId="23">
    <w:name w:val="Normal Indent"/>
    <w:basedOn w:val="0"/>
    <w:pPr>
      <w:ind w:firstLine="420"/>
    </w:pPr>
  </w:style>
  <w:style w:type="paragraph" w:styleId="24">
    <w:name w:val="footnote text"/>
    <w:basedOn w:val="0"/>
    <w:pPr>
      <w:snapToGrid w:val="0"/>
      <w:jc w:val="left"/>
    </w:pPr>
    <w:rPr>
      <w:sz w:val="18"/>
    </w:rPr>
  </w:style>
  <w:style w:type="paragraph" w:styleId="25">
    <w:name w:val="annotation text"/>
    <w:basedOn w:val="0"/>
    <w:pPr>
      <w:jc w:val="left"/>
    </w:pPr>
  </w:style>
  <w:style w:type="paragraph" w:styleId="2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2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28">
    <w:name w:val="index heading"/>
    <w:basedOn w:val="0"/>
    <w:rPr>
      <w:rFonts w:ascii="Arial" w:hAnsi="Arial"/>
      <w:b/>
    </w:rPr>
  </w:style>
  <w:style w:type="paragraph" w:styleId="29">
    <w:name w:val="Closing"/>
    <w:next w:val="18"/>
    <w:pPr>
      <w:widowControl w:val="0"/>
      <w:ind w:left="432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paragraph" w:customStyle="1" w:styleId="30">
    <w:name w:val="样式 31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1">
    <w:name w:val="样式 24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2">
    <w:name w:val="样式 30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3">
    <w:name w:val="样式 2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34">
    <w:name w:val="样式 315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5">
    <w:name w:val="样式 32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6">
    <w:name w:val="样式 33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7">
    <w:name w:val="样式 6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38">
    <w:name w:val="样式 8 三号"/>
    <w:pPr>
      <w:spacing w:line="560" w:lineRule="atLeast"/>
      <w:jc w:val="center"/>
    </w:pPr>
    <w:rPr>
      <w:rFonts w:ascii="方正楷体_GBK" w:eastAsia="方正楷体_GBK" w:cs="宋体" w:hAnsi="Times New Roman"/>
      <w:sz w:val="32"/>
      <w:szCs w:val="32"/>
      <w:lang w:val="en-US" w:eastAsia="zh-CN" w:bidi="ar-SA"/>
    </w:rPr>
  </w:style>
  <w:style w:type="paragraph" w:customStyle="1" w:styleId="39">
    <w:name w:val="样式 10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0">
    <w:name w:val="样式 2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1">
    <w:name w:val="样式 12 三号"/>
    <w:pPr>
      <w:widowControl w:val="0"/>
      <w:jc w:val="both"/>
    </w:pPr>
    <w:rPr>
      <w:rFonts w:ascii="Times New Roman" w:eastAsia="方正仿宋_GBK" w:cs="Lucida Sans" w:hAnsi="Times New Roman"/>
      <w:kern w:val="2"/>
      <w:sz w:val="32"/>
      <w:szCs w:val="32"/>
      <w:lang w:val="en-US" w:eastAsia="zh-CN" w:bidi="ar-SA"/>
    </w:rPr>
  </w:style>
  <w:style w:type="paragraph" w:customStyle="1" w:styleId="42">
    <w:name w:val="样式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  <w:style w:type="paragraph" w:customStyle="1" w:styleId="43">
    <w:name w:val="样式 2 10 磅"/>
    <w:pPr>
      <w:widowControl w:val="0"/>
      <w:jc w:val="both"/>
    </w:pPr>
    <w:rPr>
      <w:rFonts w:ascii="Times New Roman" w:eastAsia="宋体" w:cs="Lucida Sans" w:hAnsi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4D2950D1-0589-4E89-BC36-2A74F4136625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</TotalTime>
  <Application>Yozo_Office27021597764231179</Application>
  <Pages>3</Pages>
  <Words>0</Words>
  <Characters>1405</Characters>
  <Lines>0</Lines>
  <Paragraphs>15</Paragraphs>
  <CharactersWithSpaces>1874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吴迪</cp:lastModifiedBy>
  <cp:revision>1</cp:revision>
  <dcterms:created xsi:type="dcterms:W3CDTF">2025-05-16T02:11:45Z</dcterms:created>
  <dcterms:modified xsi:type="dcterms:W3CDTF">2025-06-11T02:53:03Z</dcterms:modified>
</cp:coreProperties>
</file>