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ind w:right="34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bookmarkStart w:id="0" w:name="wpds__标题__Text"/>
      <w:bookmarkStart w:id="1" w:name="_GoBack"/>
      <w:bookmarkEnd w:id="1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2025年1-10月河北省进出口</w:t>
      </w:r>
      <w:bookmarkEnd w:id="0"/>
      <w:r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情况</w:t>
      </w:r>
    </w:p>
    <w:p>
      <w:pPr>
        <w:spacing w:line="420" w:lineRule="exact"/>
        <w:ind w:right="34"/>
        <w:jc w:val="center"/>
        <w:rPr>
          <w:rFonts w:ascii="方正仿宋_GBK" w:eastAsia="方正小标宋_GBK" w:hAnsi="方正仿宋_GBK"/>
          <w:spacing w:val="-4"/>
        </w:rPr>
      </w:pPr>
    </w:p>
    <w:p>
      <w:pPr>
        <w:pStyle w:val="70"/>
        <w:spacing w:line="420" w:lineRule="exact"/>
        <w:ind w:right="34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</w:p>
    <w:p>
      <w:pPr>
        <w:pStyle w:val="71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cs="Times New Roman" w:hint="eastAsia"/>
          <w:lang w:bidi="ar-SA"/>
        </w:rPr>
      </w:pPr>
      <w:r>
        <w:rPr>
          <w:rFonts w:ascii="方正黑体_GBK" w:eastAsia="方正黑体_GBK" w:cs="Times New Roman" w:hint="eastAsia"/>
          <w:lang w:bidi="ar-SA"/>
        </w:rPr>
        <w:t>一、进出口整体情况</w:t>
      </w:r>
    </w:p>
    <w:p>
      <w:pPr>
        <w:pStyle w:val="72"/>
        <w:adjustRightInd w:val="0"/>
        <w:snapToGrid w:val="0"/>
        <w:spacing w:line="560" w:lineRule="exact"/>
        <w:ind w:left="0" w:firstLineChars="200" w:firstLine="640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2025年1-10月，河北省外贸进出口总值5456.2亿元人民币（下同），同比（下同）增长7%。其中，出口3208.1亿元，增长3.8%；进口2248.1亿元，增长11.9%。10月当月进出口669.3亿元，增长35.2%，环比下降2.9%。其中，出口344.6亿元，增长9%，环比下降2.6%；进口324.7亿元，增长81.5%，环比下降3.2%。</w:t>
      </w:r>
    </w:p>
    <w:p>
      <w:pPr>
        <w:pStyle w:val="76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方正黑体_GBK" w:eastAsia="方正黑体_GBK" w:cs="Times New Roman" w:hint="eastAsia"/>
          <w:lang w:bidi="ar-SA"/>
        </w:rPr>
      </w:pPr>
      <w:r>
        <w:rPr>
          <w:rFonts w:ascii="方正黑体_GBK" w:eastAsia="方正黑体_GBK" w:cs="Times New Roman" w:hint="eastAsia"/>
          <w:lang w:bidi="ar-SA"/>
        </w:rPr>
        <w:t>二、进出口主要特点</w:t>
      </w:r>
    </w:p>
    <w:p>
      <w:pPr>
        <w:pStyle w:val="77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ascii="Times New Roman" w:eastAsia="方正仿宋_GBK" w:cs="Times New Roman" w:hAnsi="Times New Roman"/>
          <w:b/>
          <w:lang w:bidi="ar-SA"/>
        </w:rPr>
        <w:t>（一）以一般贸易为主。</w:t>
      </w:r>
      <w:r>
        <w:rPr>
          <w:rFonts w:ascii="Times New Roman" w:eastAsia="方正仿宋_GBK" w:cs="Times New Roman" w:hAnsi="Times New Roman"/>
          <w:color w:val="000000"/>
          <w:lang w:bidi="ar-SA"/>
        </w:rPr>
        <w:t>一般贸易进出口4679.2亿元，增长3.1%，占进出口总值的85.8%。</w:t>
      </w:r>
      <w:r>
        <w:rPr>
          <w:rFonts w:ascii="Times New Roman" w:eastAsia="方正仿宋_GBK" w:cs="Times New Roman" w:hAnsi="Times New Roman"/>
          <w:lang w:bidi="ar-SA"/>
        </w:rPr>
        <w:t>保税物流进出口429.3亿元，增长51.8%。加工贸易进出口224.1亿元，增长34.8%。</w:t>
      </w:r>
    </w:p>
    <w:p>
      <w:pPr>
        <w:pStyle w:val="77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ascii="Times New Roman" w:eastAsia="方正仿宋_GBK" w:cs="Times New Roman" w:hAnsi="Times New Roman"/>
          <w:b/>
          <w:lang w:bidi="ar-SA"/>
        </w:rPr>
        <w:t>（二）民营企业占比超7成。</w:t>
      </w:r>
      <w:r>
        <w:rPr>
          <w:rFonts w:ascii="Times New Roman" w:eastAsia="方正仿宋_GBK" w:cs="Times New Roman" w:hAnsi="Times New Roman"/>
          <w:color w:val="000000"/>
          <w:lang w:bidi="ar-SA"/>
        </w:rPr>
        <w:t>民营企业进出口4128亿元，增长21.7%，占进出口总值的75.7%。</w:t>
      </w:r>
      <w:r>
        <w:rPr>
          <w:rFonts w:ascii="Times New Roman" w:eastAsia="方正仿宋_GBK" w:cs="Times New Roman" w:hAnsi="Times New Roman"/>
          <w:lang w:bidi="ar-SA"/>
        </w:rPr>
        <w:t>国有企业进出口686.5亿元，下降21.2%。外商投资企业进出口638.2亿元，下降23.4%。</w:t>
      </w:r>
    </w:p>
    <w:p>
      <w:pPr>
        <w:pStyle w:val="78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kern w:val="2"/>
        </w:rPr>
      </w:pPr>
      <w:r>
        <w:rPr>
          <w:rFonts w:ascii="Times New Roman" w:eastAsia="方正仿宋_GBK" w:cs="Times New Roman" w:hAnsi="Times New Roman"/>
          <w:b/>
          <w:lang w:bidi="ar-SA"/>
        </w:rPr>
        <w:t>（三）</w:t>
      </w:r>
      <w:r>
        <w:rPr>
          <w:rFonts w:ascii="Times New Roman" w:eastAsia="方正仿宋_GBK" w:cs="Times New Roman" w:hAnsi="Times New Roman"/>
          <w:b/>
          <w:color w:val="000000"/>
          <w:lang w:bidi="ar-SA"/>
        </w:rPr>
        <w:t>新兴市场成为增长引擎。</w:t>
      </w:r>
      <w:r>
        <w:rPr>
          <w:rFonts w:ascii="Times New Roman" w:eastAsia="方正仿宋_GBK" w:cs="Times New Roman" w:hAnsi="Times New Roman"/>
          <w:color w:val="000000"/>
          <w:lang w:bidi="ar-SA"/>
        </w:rPr>
        <w:t>新兴市场贸易表现亮眼，对拉丁美洲、非洲、中亚分别进出口854.9亿元、490.9亿元、81.7亿元，分别增长13.4%、42.3%、1.2倍，合计拉动全省进出口增长5.7个百分点。同期，我省前5位贸易伙伴中，对澳大利亚进出口632.3亿元，下降9%，占进出口总值的11.6%；</w:t>
      </w:r>
      <w:r>
        <w:rPr>
          <w:rFonts w:ascii="Times New Roman" w:eastAsia="方正仿宋_GBK" w:cs="Times New Roman" w:hAnsi="Times New Roman"/>
          <w:kern w:val="2"/>
          <w:lang w:bidi="ar-SA"/>
        </w:rPr>
        <w:t>对东盟进出口609.6亿元，下降9.3%；</w:t>
      </w:r>
      <w:r>
        <w:rPr>
          <w:rFonts w:ascii="Times New Roman" w:eastAsia="方正仿宋_GBK" w:cs="Times New Roman" w:hAnsi="Times New Roman"/>
          <w:lang w:bidi="ar-SA"/>
        </w:rPr>
        <w:t>对欧盟进出口532.1亿元，下降7%；对美国进出口335.6亿元，下降12.5%；对俄罗斯进出口297.4亿元，下降21.3%。</w:t>
      </w:r>
      <w:r>
        <w:rPr>
          <w:rFonts w:ascii="Times New Roman" w:eastAsia="方正仿宋_GBK" w:cs="Times New Roman" w:hAnsi="Times New Roman"/>
          <w:kern w:val="2"/>
          <w:lang w:bidi="ar-SA"/>
        </w:rPr>
        <w:t>此外，对</w:t>
      </w:r>
      <w:r>
        <w:rPr>
          <w:rFonts w:ascii="Times New Roman" w:eastAsia="方正仿宋_GBK" w:cs="Times New Roman" w:hAnsi="Times New Roman"/>
          <w:lang w:bidi="ar-SA"/>
        </w:rPr>
        <w:t>共</w:t>
      </w:r>
      <w:r>
        <w:rPr>
          <w:rFonts w:ascii="方正仿宋_GBK" w:eastAsia="方正仿宋_GBK" w:cs="Times New Roman" w:hint="eastAsia"/>
          <w:lang w:bidi="ar-SA"/>
        </w:rPr>
        <w:t>建</w:t>
      </w:r>
      <w:r>
        <w:rPr>
          <w:rFonts w:ascii="方正仿宋_GBK" w:eastAsia="方正仿宋_GBK" w:cs="Times New Roman" w:hint="eastAsia"/>
          <w:kern w:val="2"/>
          <w:lang w:bidi="ar-SA"/>
        </w:rPr>
        <w:t>“一带一路”</w:t>
      </w:r>
      <w:r>
        <w:rPr>
          <w:rFonts w:ascii="方正仿宋_GBK" w:eastAsia="方正仿宋_GBK" w:cs="Times New Roman" w:hint="eastAsia"/>
          <w:lang w:bidi="ar-SA"/>
        </w:rPr>
        <w:t>国</w:t>
      </w:r>
      <w:r>
        <w:rPr>
          <w:rFonts w:ascii="Times New Roman" w:eastAsia="方正仿宋_GBK" w:cs="Times New Roman" w:hAnsi="Times New Roman"/>
          <w:lang w:bidi="ar-SA"/>
        </w:rPr>
        <w:t>家</w:t>
      </w:r>
      <w:r>
        <w:rPr>
          <w:rFonts w:ascii="Times New Roman" w:eastAsia="方正仿宋_GBK" w:cs="Times New Roman" w:hAnsi="Times New Roman"/>
          <w:kern w:val="2"/>
          <w:lang w:bidi="ar-SA"/>
        </w:rPr>
        <w:t>进出口3465.9亿元，增长17.3%。</w:t>
      </w:r>
    </w:p>
    <w:p>
      <w:pPr>
        <w:pStyle w:val="67"/>
        <w:adjustRightInd w:val="0"/>
        <w:snapToGrid w:val="0"/>
        <w:spacing w:line="560" w:lineRule="exact"/>
        <w:ind w:left="0" w:firstLineChars="200" w:firstLine="640"/>
      </w:pPr>
      <w:r>
        <w:rPr>
          <w:b/>
        </w:rPr>
        <w:t>（四）机电产品出口居首</w:t>
      </w:r>
      <w:r>
        <w:rPr>
          <w:b/>
          <w:kern w:val="0"/>
        </w:rPr>
        <w:t>。</w:t>
      </w:r>
      <w:r>
        <w:rPr>
          <w:kern w:val="0"/>
        </w:rPr>
        <w:t>出口产品中，机电产品</w:t>
      </w:r>
      <w:r>
        <w:rPr>
          <w:color w:val="000000"/>
          <w:kern w:val="0"/>
        </w:rPr>
        <w:t>出口1519.6亿元，下降0.1%</w:t>
      </w:r>
      <w:r>
        <w:rPr>
          <w:color w:val="000000"/>
        </w:rPr>
        <w:t>，占出口总值的47.4%，</w:t>
      </w:r>
      <w:r>
        <w:t>其中汽车出口412.7亿元，下降22.2%（出口42.3万辆，减少13.3%）。</w:t>
      </w:r>
      <w:r>
        <w:rPr>
          <w:color w:val="000000"/>
        </w:rPr>
        <w:t>劳动密集型产品出口451亿元，下降5.6%，</w:t>
      </w:r>
      <w:r>
        <w:t>其中纺织服装出口234.9亿元，下降5.6%。钢材出口293.6亿元，下降6.2%。此外，</w:t>
      </w:r>
      <w:r>
        <w:rPr>
          <w:rFonts w:ascii="方正仿宋_GBK" w:hint="eastAsia"/>
          <w:lang w:bidi="ar-SA"/>
        </w:rPr>
        <w:t>“</w:t>
      </w:r>
      <w:r>
        <w:rPr>
          <w:rFonts w:ascii="方正仿宋_GBK" w:hint="eastAsia"/>
        </w:rPr>
        <w:t>新三样</w:t>
      </w:r>
      <w:r>
        <w:rPr>
          <w:rFonts w:ascii="方正仿宋_GBK" w:hint="eastAsia"/>
          <w:lang w:bidi="ar-SA"/>
        </w:rPr>
        <w:t>”</w:t>
      </w:r>
      <w:r>
        <w:t>产品出口216.8亿元，下降32.2%，其中电动汽车出口179.2亿元，下降36.4%（出口15.8万辆，减少21.2%），光伏产品出口22亿元，下降36.4%，锂离子蓄电池出口15.7亿元，增长3.5倍。</w:t>
      </w:r>
    </w:p>
    <w:p>
      <w:pPr>
        <w:pStyle w:val="80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kern w:val="2"/>
          <w:lang w:bidi="ar-SA"/>
        </w:rPr>
      </w:pPr>
      <w:r>
        <w:rPr>
          <w:rFonts w:ascii="Times New Roman" w:eastAsia="方正仿宋_GBK" w:cs="Times New Roman" w:hAnsi="Times New Roman"/>
          <w:b/>
          <w:lang w:bidi="ar-SA"/>
        </w:rPr>
        <w:t>（五）大宗商品进口居首。</w:t>
      </w:r>
      <w:r>
        <w:rPr>
          <w:rFonts w:ascii="Times New Roman" w:eastAsia="方正仿宋_GBK" w:cs="Times New Roman" w:hAnsi="Times New Roman"/>
          <w:lang w:bidi="ar-SA"/>
        </w:rPr>
        <w:t>进口商品中，大宗商品</w:t>
      </w:r>
      <w:r>
        <w:rPr>
          <w:rFonts w:ascii="Times New Roman" w:eastAsia="方正仿宋_GBK" w:cs="Times New Roman" w:hAnsi="Times New Roman"/>
          <w:color w:val="000000"/>
          <w:lang w:bidi="ar-SA"/>
        </w:rPr>
        <w:t>进口1715.3亿元，增长24.2%，占进口总值的76.3%，其中进口铁矿砂664.8亿元，下降12.5%；进口原油440.7亿元，增长8.3倍（主要为中化石油有限公司、中海油石油商业储备（雄安）有限公司分别进口原油318.5亿元、88.9亿元，合计占我省原油进口总值超9成）；进口天然气214.3亿元，下降10.3%；进口大豆184.5亿元，下降0.3%（主要为受巴西大豆季节性供应不足影响，进口微降）；进口铝矿砂86.8亿元，增长56.8%；进口铜矿砂45.9亿元，增长24.8倍（主要为海关6月铜精矿</w:t>
      </w:r>
      <w:r>
        <w:rPr>
          <w:rFonts w:ascii="Times New Roman" w:eastAsia="方正仿宋_GBK" w:cs="Times New Roman" w:hAnsi="Times New Roman" w:hint="eastAsia"/>
          <w:color w:val="000000"/>
          <w:lang w:bidi="ar-SA"/>
        </w:rPr>
        <w:t>“</w:t>
      </w:r>
      <w:r>
        <w:rPr>
          <w:rFonts w:ascii="Times New Roman" w:eastAsia="方正仿宋_GBK" w:cs="Times New Roman" w:hAnsi="Times New Roman"/>
          <w:color w:val="000000"/>
          <w:lang w:bidi="ar-SA"/>
        </w:rPr>
        <w:t>保税混矿</w:t>
      </w:r>
      <w:r>
        <w:rPr>
          <w:rFonts w:ascii="Times New Roman" w:eastAsia="方正仿宋_GBK" w:cs="Times New Roman" w:hAnsi="Times New Roman" w:hint="eastAsia"/>
          <w:color w:val="000000"/>
          <w:lang w:bidi="ar-SA"/>
        </w:rPr>
        <w:t>”</w:t>
      </w:r>
      <w:r>
        <w:rPr>
          <w:rFonts w:ascii="Times New Roman" w:eastAsia="方正仿宋_GBK" w:cs="Times New Roman" w:hAnsi="Times New Roman"/>
          <w:color w:val="000000"/>
          <w:lang w:bidi="ar-SA"/>
        </w:rPr>
        <w:t>试点验收落地）；进口煤及褐煤42亿元，下降30.9%（量价情况详见表2）。此外，</w:t>
      </w:r>
      <w:r>
        <w:rPr>
          <w:rFonts w:ascii="Times New Roman" w:eastAsia="方正仿宋_GBK" w:cs="Times New Roman" w:hAnsi="Times New Roman"/>
          <w:kern w:val="2"/>
          <w:lang w:bidi="ar-SA"/>
        </w:rPr>
        <w:t>进口农产品（与大宗商品有交叉）344.3亿元，下降7.8%；进口机电产品117.5亿元，下降16.9%；进口高新技术产品（与机电产品有交叉）62.5亿元，下降26.1%（表1）。</w:t>
      </w:r>
    </w:p>
    <w:tbl>
      <w:tblPr>
        <w:jc w:val="left"/>
        <w:tblInd w:w="0" w:type="dx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2"/>
      </w:tblGrid>
      <w:tr>
        <w:trPr>
          <w:trHeight w:val="284"/>
        </w:trPr>
        <w:tc>
          <w:tcPr>
            <w:tcW w:w="830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81"/>
              <w:spacing w:line="560" w:lineRule="exact"/>
              <w:ind w:firstLineChars="100" w:firstLine="280"/>
              <w:jc w:val="center"/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</w:pPr>
            <w:r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  <w:t>表1  2025年1-10月河北省前十位商品进出口统计表</w:t>
            </w:r>
          </w:p>
          <w:tbl>
            <w:tblPr>
              <w:jc w:val="center"/>
              <w:tblW w:w="5000" w:type="pct"/>
              <w:tblBorders>
                <w:top w:val="single" w:sz="6" w:space="0" w:color="auto"/>
                <w:left w:val="none" w:sz="0" w:space="0" w:color="auto"/>
                <w:bottom w:val="single" w:sz="8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"/>
              <w:gridCol w:w="1465"/>
              <w:gridCol w:w="705"/>
              <w:gridCol w:w="1465"/>
              <w:gridCol w:w="1465"/>
              <w:gridCol w:w="1465"/>
            </w:tblGrid>
            <w:tr>
              <w:trPr>
                <w:trHeight w:hRule="exact" w:val="565"/>
              </w:trPr>
              <w:tc>
                <w:tcPr>
                  <w:tcW w:w="4446" w:type="dxa"/>
                  <w:gridSpan w:val="3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</w:tcPr>
                <w:p>
                  <w:pPr>
                    <w:pStyle w:val="81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出口</w:t>
                  </w:r>
                </w:p>
              </w:tc>
              <w:tc>
                <w:tcPr>
                  <w:tcW w:w="4395" w:type="dxa"/>
                  <w:gridSpan w:val="3"/>
                  <w:tcBorders>
                    <w:tl2br w:val="nil"/>
                    <w:tr2bl w:val="nil"/>
                  </w:tcBorders>
                  <w:noWrap/>
                </w:tcPr>
                <w:p>
                  <w:pPr>
                    <w:pStyle w:val="81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进口</w:t>
                  </w:r>
                </w:p>
              </w:tc>
            </w:tr>
            <w:tr>
              <w:trPr>
                <w:trHeight w:hRule="exact" w:val="565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81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1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81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81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1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81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1519.6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-0.1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铁矿砂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664.8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-12.5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钢材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293.6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-6.2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原油 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440.7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826.8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纺织服装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234.9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-5.6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344.3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-7.8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200.4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9.0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天然气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214.3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-10.3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147.7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6.2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117.5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-16.9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医药材及药品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90.6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7.5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铝矿砂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86.8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56.8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基本有机化学品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90.1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5.0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62.5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-26.1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家具及其零件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89.6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-0.7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铜矿砂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45.9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2476.3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塑料制品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80.4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-4.0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煤及褐煤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42.0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-30.9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成品油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72.7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Arial"/>
                      <w:sz w:val="20"/>
                    </w:rPr>
                  </w:pPr>
                  <w:r>
                    <w:rPr>
                      <w:rFonts w:eastAsia="Arial"/>
                      <w:sz w:val="20"/>
                    </w:rPr>
                    <w:t xml:space="preserve">2800.2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82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沥青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30.2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82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-72.4</w:t>
                  </w:r>
                </w:p>
              </w:tc>
            </w:tr>
          </w:tbl>
          <w:p>
            <w:pPr>
              <w:pStyle w:val="82"/>
              <w:rPr>
                <w:rFonts w:ascii="宋体" w:eastAsia="宋体" w:cs="宋体" w:hint="eastAsia"/>
                <w:sz w:val="24"/>
                <w:lang w:bidi="ar-SA"/>
              </w:rPr>
            </w:pPr>
          </w:p>
        </w:tc>
      </w:tr>
    </w:tbl>
    <w:p>
      <w:pPr>
        <w:pStyle w:val="114"/>
        <w:adjustRightInd w:val="0"/>
        <w:snapToGrid w:val="0"/>
        <w:spacing w:line="560" w:lineRule="exact"/>
        <w:ind w:left="0"/>
      </w:pPr>
    </w:p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altName w:val="DejaVu Sans"/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Wingding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89"/>
    <w:multiLevelType w:val="singleLevel"/>
    <w:tmpl w:val="00000000"/>
    <w:lvl w:ilvl="0">
      <w:start w:val="1"/>
      <w:numFmt w:val="bullet"/>
      <w:lvlRestart w:val="0"/>
      <w:pStyle w:val="4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FFFFF88"/>
    <w:multiLevelType w:val="singleLevel"/>
    <w:tmpl w:val="00000000"/>
    <w:lvl w:ilvl="0">
      <w:start w:val="1"/>
      <w:numFmt w:val="decimal"/>
      <w:lvlRestart w:val="0"/>
      <w:pStyle w:val="4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FFFFF83"/>
    <w:multiLevelType w:val="singleLevel"/>
    <w:tmpl w:val="00000000"/>
    <w:lvl w:ilvl="0">
      <w:start w:val="1"/>
      <w:numFmt w:val="bullet"/>
      <w:lvlRestart w:val="0"/>
      <w:pStyle w:val="46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3">
    <w:nsid w:val="0FFFFF82"/>
    <w:multiLevelType w:val="singleLevel"/>
    <w:tmpl w:val="00000000"/>
    <w:lvl w:ilvl="0">
      <w:start w:val="1"/>
      <w:numFmt w:val="bullet"/>
      <w:lvlRestart w:val="0"/>
      <w:pStyle w:val="47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4">
    <w:nsid w:val="0FFFFF81"/>
    <w:multiLevelType w:val="singleLevel"/>
    <w:tmpl w:val="00000000"/>
    <w:lvl w:ilvl="0">
      <w:start w:val="1"/>
      <w:numFmt w:val="bullet"/>
      <w:lvlRestart w:val="0"/>
      <w:pStyle w:val="48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5">
    <w:nsid w:val="0FFFFF80"/>
    <w:multiLevelType w:val="singleLevel"/>
    <w:tmpl w:val="00000000"/>
    <w:lvl w:ilvl="0">
      <w:start w:val="1"/>
      <w:numFmt w:val="bullet"/>
      <w:lvlRestart w:val="0"/>
      <w:pStyle w:val="49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6">
    <w:nsid w:val="0FFFFF7F"/>
    <w:multiLevelType w:val="singleLevel"/>
    <w:tmpl w:val="00000000"/>
    <w:lvl w:ilvl="0">
      <w:start w:val="1"/>
      <w:numFmt w:val="decimal"/>
      <w:lvlRestart w:val="0"/>
      <w:pStyle w:val="50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7">
    <w:nsid w:val="0FFFFF7E"/>
    <w:multiLevelType w:val="singleLevel"/>
    <w:tmpl w:val="00000000"/>
    <w:lvl w:ilvl="0">
      <w:start w:val="1"/>
      <w:numFmt w:val="decimal"/>
      <w:lvlRestart w:val="0"/>
      <w:pStyle w:val="51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8">
    <w:nsid w:val="0FFFFF7D"/>
    <w:multiLevelType w:val="singleLevel"/>
    <w:tmpl w:val="00000000"/>
    <w:lvl w:ilvl="0">
      <w:start w:val="1"/>
      <w:numFmt w:val="decimal"/>
      <w:lvlRestart w:val="0"/>
      <w:pStyle w:val="52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9">
    <w:nsid w:val="0FFFFF7C"/>
    <w:multiLevelType w:val="singleLevel"/>
    <w:tmpl w:val="00000000"/>
    <w:lvl w:ilvl="0">
      <w:start w:val="1"/>
      <w:numFmt w:val="decimal"/>
      <w:lvlRestart w:val="0"/>
      <w:pStyle w:val="53"/>
      <w:lvlText w:val="%1."/>
      <w:lvlJc w:val="left"/>
      <w:pPr>
        <w:tabs>
          <w:tab w:val="num" w:pos="2040"/>
        </w:tabs>
        <w:ind w:left="20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4"/>
    <w:basedOn w:val="0"/>
    <w:autoRedefine/>
    <w:next w:val="0"/>
    <w:pPr>
      <w:ind w:left="1260"/>
    </w:pPr>
  </w:style>
  <w:style w:type="paragraph" w:styleId="16">
    <w:name w:val="toc 5"/>
    <w:basedOn w:val="0"/>
    <w:autoRedefine/>
    <w:next w:val="0"/>
    <w:pPr>
      <w:ind w:left="1680"/>
    </w:pPr>
  </w:style>
  <w:style w:type="paragraph" w:styleId="17">
    <w:name w:val="toc 6"/>
    <w:basedOn w:val="0"/>
    <w:autoRedefine/>
    <w:next w:val="0"/>
    <w:pPr>
      <w:ind w:left="2100"/>
    </w:pPr>
  </w:style>
  <w:style w:type="paragraph" w:styleId="18">
    <w:name w:val="toc 7"/>
    <w:basedOn w:val="0"/>
    <w:autoRedefine/>
    <w:next w:val="0"/>
    <w:pPr>
      <w:ind w:left="2520"/>
    </w:pPr>
  </w:style>
  <w:style w:type="paragraph" w:styleId="19">
    <w:name w:val="toc 8"/>
    <w:basedOn w:val="0"/>
    <w:autoRedefine/>
    <w:next w:val="0"/>
    <w:pPr>
      <w:ind w:left="2940"/>
    </w:pPr>
  </w:style>
  <w:style w:type="paragraph" w:styleId="20">
    <w:name w:val="toc 9"/>
    <w:basedOn w:val="0"/>
    <w:autoRedefine/>
    <w:next w:val="0"/>
    <w:pPr>
      <w:ind w:left="3360"/>
    </w:pPr>
  </w:style>
  <w:style w:type="paragraph" w:styleId="21">
    <w:name w:val="Normal Indent"/>
    <w:basedOn w:val="0"/>
    <w:pPr>
      <w:ind w:firstLine="420"/>
    </w:pPr>
  </w:style>
  <w:style w:type="paragraph" w:styleId="22">
    <w:name w:val="footnote text"/>
    <w:basedOn w:val="0"/>
    <w:pPr>
      <w:snapToGrid w:val="0"/>
      <w:jc w:val="left"/>
    </w:pPr>
    <w:rPr>
      <w:sz w:val="18"/>
    </w:rPr>
  </w:style>
  <w:style w:type="paragraph" w:styleId="23">
    <w:name w:val="annotation text"/>
    <w:basedOn w:val="0"/>
    <w:pPr>
      <w:jc w:val="left"/>
    </w:pPr>
  </w:style>
  <w:style w:type="paragraph" w:styleId="24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6">
    <w:name w:val="index heading"/>
    <w:basedOn w:val="0"/>
    <w:rPr>
      <w:rFonts w:ascii="Arial" w:hAnsi="Arial"/>
      <w:b/>
    </w:rPr>
  </w:style>
  <w:style w:type="paragraph" w:styleId="27">
    <w:name w:val="caption"/>
    <w:basedOn w:val="0"/>
    <w:next w:val="0"/>
    <w:rPr>
      <w:rFonts w:ascii="Arial" w:eastAsia="黑体" w:hAnsi="Arial"/>
      <w:b/>
      <w:sz w:val="20"/>
    </w:rPr>
  </w:style>
  <w:style w:type="paragraph" w:styleId="28">
    <w:name w:val="table of figures"/>
    <w:basedOn w:val="0"/>
    <w:next w:val="0"/>
  </w:style>
  <w:style w:type="paragraph" w:styleId="29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30">
    <w:name w:val="envelope return"/>
    <w:basedOn w:val="0"/>
    <w:pPr>
      <w:snapToGrid w:val="0"/>
    </w:pPr>
    <w:rPr>
      <w:rFonts w:ascii="Arial" w:hAnsi="Arial"/>
    </w:rPr>
  </w:style>
  <w:style w:type="character" w:styleId="31">
    <w:name w:val="footnote reference"/>
    <w:basedOn w:val="10"/>
    <w:rPr>
      <w:vertAlign w:val="superscript"/>
    </w:rPr>
  </w:style>
  <w:style w:type="character" w:styleId="32">
    <w:name w:val="annotation reference"/>
    <w:basedOn w:val="10"/>
    <w:rPr>
      <w:sz w:val="21"/>
    </w:rPr>
  </w:style>
  <w:style w:type="character" w:styleId="33">
    <w:name w:val="line number"/>
    <w:basedOn w:val="10"/>
  </w:style>
  <w:style w:type="character" w:styleId="34">
    <w:name w:val="page number"/>
    <w:basedOn w:val="10"/>
  </w:style>
  <w:style w:type="character" w:styleId="35">
    <w:name w:val="endnote reference"/>
    <w:basedOn w:val="10"/>
    <w:rPr>
      <w:vertAlign w:val="superscript"/>
    </w:rPr>
  </w:style>
  <w:style w:type="paragraph" w:styleId="36">
    <w:name w:val="endnote text"/>
    <w:basedOn w:val="0"/>
    <w:pPr>
      <w:snapToGrid w:val="0"/>
      <w:jc w:val="left"/>
    </w:pPr>
  </w:style>
  <w:style w:type="paragraph" w:styleId="37">
    <w:name w:val="table of authorities"/>
    <w:basedOn w:val="0"/>
    <w:next w:val="0"/>
    <w:pPr>
      <w:ind w:left="420"/>
    </w:pPr>
  </w:style>
  <w:style w:type="paragraph" w:styleId="38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Lucida Sans" w:hAnsi="Courier New"/>
      <w:sz w:val="24"/>
      <w:szCs w:val="20"/>
      <w:lang w:val="en-US" w:eastAsia="zh-CN" w:bidi="ar-SA"/>
    </w:rPr>
  </w:style>
  <w:style w:type="paragraph" w:styleId="39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40">
    <w:name w:val="List"/>
    <w:basedOn w:val="0"/>
    <w:pPr>
      <w:ind w:left="420" w:hanging="420"/>
    </w:pPr>
  </w:style>
  <w:style w:type="paragraph" w:styleId="41">
    <w:name w:val="List Bullet"/>
    <w:basedOn w:val="0"/>
    <w:pPr>
      <w:numPr>
        <w:ilvl w:val="0"/>
        <w:numId w:val="1"/>
      </w:numPr>
    </w:pPr>
  </w:style>
  <w:style w:type="paragraph" w:styleId="42">
    <w:name w:val="List Number"/>
    <w:basedOn w:val="0"/>
    <w:pPr>
      <w:numPr>
        <w:ilvl w:val="0"/>
        <w:numId w:val="2"/>
      </w:numPr>
    </w:pPr>
  </w:style>
  <w:style w:type="paragraph" w:styleId="43">
    <w:name w:val="List 2"/>
    <w:basedOn w:val="0"/>
    <w:pPr>
      <w:ind w:left="840" w:hanging="420"/>
    </w:pPr>
  </w:style>
  <w:style w:type="paragraph" w:styleId="44">
    <w:name w:val="List 3"/>
    <w:basedOn w:val="0"/>
    <w:pPr>
      <w:ind w:left="1260" w:hanging="420"/>
    </w:pPr>
  </w:style>
  <w:style w:type="paragraph" w:styleId="45">
    <w:name w:val="List 4"/>
    <w:basedOn w:val="0"/>
    <w:pPr>
      <w:ind w:left="1680" w:hanging="420"/>
    </w:pPr>
  </w:style>
  <w:style w:type="paragraph" w:styleId="46">
    <w:name w:val="List 5"/>
    <w:basedOn w:val="0"/>
    <w:pPr>
      <w:ind w:left="2100" w:hanging="420"/>
    </w:pPr>
  </w:style>
  <w:style w:type="paragraph" w:styleId="47">
    <w:name w:val="List Bullet 2"/>
    <w:basedOn w:val="0"/>
    <w:pPr>
      <w:numPr>
        <w:ilvl w:val="0"/>
        <w:numId w:val="3"/>
      </w:numPr>
    </w:pPr>
  </w:style>
  <w:style w:type="paragraph" w:styleId="48">
    <w:name w:val="List Bullet 3"/>
    <w:basedOn w:val="0"/>
    <w:pPr>
      <w:numPr>
        <w:ilvl w:val="0"/>
        <w:numId w:val="4"/>
      </w:numPr>
    </w:pPr>
  </w:style>
  <w:style w:type="paragraph" w:styleId="49">
    <w:name w:val="List Bullet 4"/>
    <w:basedOn w:val="0"/>
    <w:pPr>
      <w:numPr>
        <w:ilvl w:val="0"/>
        <w:numId w:val="5"/>
      </w:numPr>
    </w:pPr>
  </w:style>
  <w:style w:type="paragraph" w:styleId="50">
    <w:name w:val="List Bullet 5"/>
    <w:basedOn w:val="0"/>
    <w:pPr>
      <w:numPr>
        <w:ilvl w:val="0"/>
        <w:numId w:val="6"/>
      </w:numPr>
    </w:pPr>
  </w:style>
  <w:style w:type="paragraph" w:styleId="51">
    <w:name w:val="List Number 2"/>
    <w:basedOn w:val="0"/>
    <w:pPr>
      <w:numPr>
        <w:ilvl w:val="0"/>
        <w:numId w:val="7"/>
      </w:numPr>
    </w:pPr>
  </w:style>
  <w:style w:type="paragraph" w:styleId="52">
    <w:name w:val="List Number 3"/>
    <w:basedOn w:val="0"/>
    <w:pPr>
      <w:numPr>
        <w:ilvl w:val="0"/>
        <w:numId w:val="8"/>
      </w:numPr>
    </w:pPr>
  </w:style>
  <w:style w:type="paragraph" w:styleId="53">
    <w:name w:val="List Number 4"/>
    <w:basedOn w:val="0"/>
    <w:pPr>
      <w:numPr>
        <w:ilvl w:val="0"/>
        <w:numId w:val="9"/>
      </w:numPr>
    </w:pPr>
  </w:style>
  <w:style w:type="paragraph" w:styleId="54">
    <w:name w:val="List Number 5"/>
    <w:basedOn w:val="0"/>
    <w:pPr>
      <w:numPr>
        <w:ilvl w:val="0"/>
        <w:numId w:val="10"/>
      </w:numPr>
    </w:pPr>
  </w:style>
  <w:style w:type="paragraph" w:styleId="55">
    <w:name w:val="Title"/>
    <w:basedOn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56">
    <w:name w:val="Closing"/>
    <w:basedOn w:val="0"/>
    <w:pPr>
      <w:ind w:left="4320"/>
    </w:pPr>
  </w:style>
  <w:style w:type="paragraph" w:styleId="57">
    <w:name w:val="Signature"/>
    <w:basedOn w:val="0"/>
    <w:pPr>
      <w:ind w:left="4320"/>
    </w:pPr>
  </w:style>
  <w:style w:type="paragraph" w:styleId="58">
    <w:name w:val="Body Text"/>
    <w:basedOn w:val="0"/>
    <w:pPr>
      <w:spacing w:after="120"/>
    </w:pPr>
  </w:style>
  <w:style w:type="paragraph" w:styleId="59">
    <w:name w:val="Body Text Indent"/>
    <w:basedOn w:val="0"/>
    <w:pPr>
      <w:spacing w:after="120"/>
      <w:ind w:left="420"/>
    </w:pPr>
  </w:style>
  <w:style w:type="paragraph" w:styleId="60">
    <w:name w:val="List Continue"/>
    <w:basedOn w:val="0"/>
    <w:pPr>
      <w:spacing w:after="120"/>
      <w:ind w:left="420"/>
    </w:pPr>
  </w:style>
  <w:style w:type="paragraph" w:styleId="61">
    <w:name w:val="List Continue 2"/>
    <w:basedOn w:val="0"/>
    <w:pPr>
      <w:spacing w:after="120"/>
      <w:ind w:left="840"/>
    </w:pPr>
  </w:style>
  <w:style w:type="paragraph" w:styleId="62">
    <w:name w:val="List Continue 3"/>
    <w:basedOn w:val="0"/>
    <w:pPr>
      <w:spacing w:after="120"/>
      <w:ind w:left="1260"/>
    </w:pPr>
  </w:style>
  <w:style w:type="paragraph" w:styleId="63">
    <w:name w:val="List Continue 4"/>
    <w:basedOn w:val="0"/>
    <w:pPr>
      <w:spacing w:after="120"/>
      <w:ind w:left="1680"/>
    </w:pPr>
  </w:style>
  <w:style w:type="paragraph" w:styleId="64">
    <w:name w:val="List Continue 5"/>
    <w:basedOn w:val="0"/>
    <w:pPr>
      <w:spacing w:after="120"/>
      <w:ind w:left="2100"/>
    </w:pPr>
  </w:style>
  <w:style w:type="paragraph" w:styleId="65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styleId="66">
    <w:name w:val="Subtitle"/>
    <w:basedOn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7">
    <w:name w:val="Salutation"/>
    <w:next w:val="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68">
    <w:name w:val="Date"/>
    <w:basedOn w:val="0"/>
    <w:next w:val="0"/>
    <w:pPr>
      <w:ind w:leftChars="2500" w:left="2500"/>
    </w:pPr>
  </w:style>
  <w:style w:type="paragraph" w:styleId="69">
    <w:name w:val="HTML Address"/>
    <w:next w:val="34"/>
    <w:pPr>
      <w:widowControl w:val="0"/>
      <w:jc w:val="both"/>
    </w:pPr>
    <w:rPr>
      <w:rFonts w:ascii="Times New Roman" w:eastAsia="方正仿宋_GBK" w:cs="Times New Roman" w:hAnsi="Times New Roman"/>
      <w:i/>
      <w:kern w:val="2"/>
      <w:sz w:val="32"/>
      <w:szCs w:val="32"/>
      <w:lang w:val="en-US" w:eastAsia="zh-CN" w:bidi="ar-SA"/>
    </w:rPr>
  </w:style>
  <w:style w:type="paragraph" w:customStyle="1" w:styleId="70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1">
    <w:name w:val="样式 509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72">
    <w:name w:val="样式 510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73">
    <w:name w:val="样式 511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74">
    <w:name w:val="样式 81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75">
    <w:name w:val="样式 8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76">
    <w:name w:val="样式 51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77">
    <w:name w:val="样式 3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78">
    <w:name w:val="样式 33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79">
    <w:name w:val="样式 231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80">
    <w:name w:val="样式 8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81">
    <w:name w:val="样式 4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82">
    <w:name w:val="样式 5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3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4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5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6">
    <w:name w:val="样式 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7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8">
    <w:name w:val="样式 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9">
    <w:name w:val="样式 2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0">
    <w:name w:val="样式 5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1">
    <w:name w:val="样式 5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2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3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4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5">
    <w:name w:val="样式 5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6">
    <w:name w:val="样式 5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7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8">
    <w:name w:val="样式 26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99">
    <w:name w:val="样式 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0">
    <w:name w:val="样式 5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1">
    <w:name w:val="样式 5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2">
    <w:name w:val="样式 6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3">
    <w:name w:val="样式 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4">
    <w:name w:val="样式 2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5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6">
    <w:name w:val="样式 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7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8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9">
    <w:name w:val="样式 2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0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1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2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3">
    <w:name w:val="样式 26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4">
    <w:name w:val="样式 3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  <w:style w:type="paragraph" w:customStyle="1" w:styleId="115">
    <w:name w:val="样式 514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16">
    <w:name w:val="样式 6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  <w:style w:type="paragraph" w:customStyle="1" w:styleId="117">
    <w:name w:val="样式 35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118">
    <w:name w:val="样式 38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19">
    <w:name w:val="样式 37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20">
    <w:name w:val="样式 515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21">
    <w:name w:val="样式 516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22">
    <w:name w:val="样式 40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123">
    <w:name w:val="样式 99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"/>
    <sectPr/>
  </customProps>
</customData>
</file>

<file path=customXml/itemProps1.xml><?xml version="1.0" encoding="utf-8"?>
<ds:datastoreItem xmlns:ds="http://schemas.openxmlformats.org/officeDocument/2006/customXml" ds:itemID="{2DCBF69B-9222-4C81-A715-3BF49F2B343D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3</Pages>
  <Words>0</Words>
  <Characters>1346</Characters>
  <Lines>0</Lines>
  <Paragraphs>13</Paragraphs>
  <CharactersWithSpaces>1795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吴迪</cp:lastModifiedBy>
  <cp:revision>1</cp:revision>
  <dcterms:created xsi:type="dcterms:W3CDTF">2025-11-17T01:13:18Z</dcterms:created>
  <dcterms:modified xsi:type="dcterms:W3CDTF">2025-12-11T00:24:57Z</dcterms:modified>
</cp:coreProperties>
</file>