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spacing w:line="600" w:lineRule="exact"/>
        <w:ind w:right="34"/>
        <w:jc w:val="center"/>
        <w:rPr>
          <w:rFonts w:ascii="方正小标宋_GBK" w:eastAsia="方正小标宋_GBK" w:hint="eastAsia"/>
          <w:spacing w:val="-4"/>
          <w:sz w:val="44"/>
          <w:szCs w:val="44"/>
        </w:rPr>
      </w:pPr>
      <w:bookmarkStart w:id="0" w:name="wpds__标题__Text"/>
      <w:bookmarkStart w:id="1" w:name="_GoBack"/>
      <w:bookmarkEnd w:id="1"/>
      <w:r>
        <w:rPr>
          <w:rFonts w:ascii="方正小标宋_GBK" w:eastAsia="方正小标宋_GBK" w:cs="Times New Roman" w:hint="eastAsia"/>
          <w:snapToGrid/>
          <w:color w:val="auto"/>
          <w:spacing w:val="-4"/>
          <w:w w:val="100"/>
          <w:kern w:val="2"/>
          <w:position w:val="0"/>
          <w:sz w:val="44"/>
          <w:szCs w:val="44"/>
          <w:u w:val="none" w:color="auto"/>
          <w:vertAlign w:val="baseline"/>
          <w:em w:val="none"/>
          <w:lang w:bidi="ar-SA"/>
        </w:rPr>
        <w:t>2025年1-11月河北省进出口</w:t>
      </w:r>
      <w:bookmarkEnd w:id="0"/>
      <w:r>
        <w:rPr>
          <w:rFonts w:ascii="方正小标宋_GBK" w:eastAsia="方正小标宋_GBK" w:cs="Times New Roman"/>
          <w:snapToGrid/>
          <w:color w:val="auto"/>
          <w:spacing w:val="-4"/>
          <w:w w:val="100"/>
          <w:kern w:val="2"/>
          <w:position w:val="0"/>
          <w:sz w:val="44"/>
          <w:szCs w:val="44"/>
          <w:u w:val="none" w:color="auto"/>
          <w:vertAlign w:val="baseline"/>
          <w:em w:val="none"/>
          <w:lang w:bidi="ar-SA"/>
        </w:rPr>
        <w:t>情况</w:t>
      </w:r>
    </w:p>
    <w:p>
      <w:pPr>
        <w:ind w:right="34"/>
        <w:jc w:val="center"/>
        <w:rPr>
          <w:rFonts w:ascii="方正仿宋_GBK" w:eastAsia="方正小标宋_GBK" w:hAnsi="方正仿宋_GBK"/>
          <w:spacing w:val="-4"/>
        </w:rPr>
      </w:pPr>
    </w:p>
    <w:p>
      <w:pPr>
        <w:pStyle w:val="30"/>
        <w:adjustRightInd w:val="0"/>
        <w:snapToGrid w:val="0"/>
        <w:spacing w:line="560" w:lineRule="exact"/>
        <w:ind w:firstLineChars="200" w:firstLine="640"/>
        <w:rPr>
          <w:rFonts w:ascii="方正黑体_GBK" w:eastAsia="方正黑体_GBK" w:cs="Times New Roman" w:hint="eastAsia"/>
          <w:lang w:bidi="ar-SA"/>
        </w:rPr>
      </w:pPr>
      <w:r>
        <w:rPr>
          <w:rFonts w:ascii="方正黑体_GBK" w:eastAsia="方正黑体_GBK" w:cs="Times New Roman" w:hint="eastAsia"/>
          <w:lang w:bidi="ar-SA"/>
        </w:rPr>
        <w:t>一、进出口整体情况</w:t>
      </w:r>
    </w:p>
    <w:p>
      <w:pPr>
        <w:pStyle w:val="31"/>
        <w:adjustRightInd w:val="0"/>
        <w:snapToGrid w:val="0"/>
        <w:spacing w:line="560" w:lineRule="exact"/>
        <w:ind w:firstLineChars="200" w:firstLine="640"/>
        <w:rPr>
          <w:rFonts w:cs="Times New Roman"/>
          <w:color w:val="000000"/>
          <w:lang w:bidi="ar-SA"/>
        </w:rPr>
      </w:pPr>
      <w:r>
        <w:rPr>
          <w:rFonts w:cs="Times New Roman"/>
          <w:color w:val="000000"/>
          <w:lang w:bidi="ar-SA"/>
        </w:rPr>
        <w:t>2025年1-11月，河北省外贸进出口总值6089.5亿元人民币（下同），同比（下同）增长9%。其中，出口3565.5亿元，增长5.1%；进口2524亿元，增长15%。11月当月进出口633.8亿元，增长29.7%，环比下降5.3%。其中，出口357.6亿元，增长18.1%，环比增长3.8%；进口276.2亿元，增长48.5%，环比下降14.9%。</w:t>
      </w:r>
    </w:p>
    <w:p>
      <w:pPr>
        <w:pStyle w:val="35"/>
        <w:widowControl w:val="0"/>
        <w:adjustRightInd w:val="0"/>
        <w:snapToGrid w:val="0"/>
        <w:spacing w:line="560" w:lineRule="exact"/>
        <w:ind w:left="0" w:firstLineChars="200" w:firstLine="640"/>
        <w:jc w:val="both"/>
        <w:rPr>
          <w:rFonts w:ascii="方正黑体_GBK" w:eastAsia="方正黑体_GBK" w:cs="Times New Roman" w:hint="eastAsia"/>
          <w:lang w:bidi="ar-SA"/>
        </w:rPr>
      </w:pPr>
      <w:r>
        <w:rPr>
          <w:rFonts w:ascii="方正黑体_GBK" w:eastAsia="方正黑体_GBK" w:cs="Times New Roman" w:hint="eastAsia"/>
          <w:lang w:bidi="ar-SA"/>
        </w:rPr>
        <w:t>二、进出口主要特点</w:t>
      </w:r>
    </w:p>
    <w:p>
      <w:pPr>
        <w:pStyle w:val="36"/>
        <w:widowControl w:val="0"/>
        <w:adjustRightInd w:val="0"/>
        <w:snapToGrid w:val="0"/>
        <w:spacing w:line="560" w:lineRule="exact"/>
        <w:ind w:firstLineChars="200" w:firstLine="640"/>
        <w:jc w:val="both"/>
        <w:rPr>
          <w:rFonts w:ascii="Times New Roman" w:eastAsia="方正仿宋_GBK" w:cs="Times New Roman" w:hAnsi="Times New Roman"/>
          <w:lang w:bidi="ar-SA"/>
        </w:rPr>
      </w:pPr>
      <w:r>
        <w:rPr>
          <w:rFonts w:ascii="Times New Roman" w:eastAsia="方正仿宋_GBK" w:cs="Times New Roman" w:hAnsi="Times New Roman"/>
          <w:b/>
          <w:lang w:bidi="ar-SA"/>
        </w:rPr>
        <w:t>（一）以一般贸易为主。</w:t>
      </w:r>
      <w:r>
        <w:rPr>
          <w:rFonts w:ascii="Times New Roman" w:eastAsia="方正仿宋_GBK" w:cs="Times New Roman" w:hAnsi="Times New Roman"/>
          <w:color w:val="000000"/>
          <w:lang w:bidi="ar-SA"/>
        </w:rPr>
        <w:t>一般贸易进出口5231.8亿元，增长5%，占进出口总值的85.9%。</w:t>
      </w:r>
      <w:r>
        <w:rPr>
          <w:rFonts w:ascii="Times New Roman" w:eastAsia="方正仿宋_GBK" w:cs="Times New Roman" w:hAnsi="Times New Roman"/>
          <w:lang w:bidi="ar-SA"/>
        </w:rPr>
        <w:t>保税物流进出口471.7亿元，增长54.8%。加工贸易进出口252.9亿元，增长40.3%。</w:t>
      </w:r>
    </w:p>
    <w:p>
      <w:pPr>
        <w:pStyle w:val="37"/>
        <w:widowControl w:val="0"/>
        <w:adjustRightInd w:val="0"/>
        <w:snapToGrid w:val="0"/>
        <w:spacing w:line="560" w:lineRule="exact"/>
        <w:ind w:firstLineChars="200" w:firstLine="640"/>
        <w:jc w:val="both"/>
        <w:rPr>
          <w:rFonts w:ascii="Times New Roman" w:eastAsia="方正仿宋_GBK" w:cs="Times New Roman" w:hAnsi="Times New Roman"/>
          <w:kern w:val="2"/>
          <w:lang w:bidi="ar-SA"/>
        </w:rPr>
      </w:pPr>
      <w:r>
        <w:rPr>
          <w:rFonts w:ascii="Times New Roman" w:eastAsia="方正仿宋_GBK" w:cs="Times New Roman" w:hAnsi="Times New Roman"/>
          <w:b/>
          <w:bCs/>
          <w:lang w:bidi="ar-SA"/>
        </w:rPr>
        <w:t>（二）</w:t>
      </w:r>
      <w:r>
        <w:rPr>
          <w:rFonts w:ascii="Times New Roman" w:eastAsia="方正仿宋_GBK" w:cs="Times New Roman" w:hAnsi="Times New Roman"/>
          <w:b/>
          <w:color w:val="000000"/>
          <w:lang w:bidi="ar-SA"/>
        </w:rPr>
        <w:t>新兴市场成为增长引擎。</w:t>
      </w:r>
      <w:r>
        <w:rPr>
          <w:rFonts w:ascii="Times New Roman" w:eastAsia="方正仿宋_GBK" w:cs="Times New Roman" w:hAnsi="Times New Roman"/>
          <w:color w:val="000000"/>
          <w:lang w:bidi="ar-SA"/>
        </w:rPr>
        <w:t>对拉丁美洲、非洲、中亚等新兴市场分别进出口960.7亿元、560.2亿元、90.8亿元，分别增长16.9%、47.5%、1.1倍，合计拉动全省进出口增长6.6个百分点。同期，我省主要贸易伙伴中，对澳大利亚进出口690.7亿元，下降9.4%；</w:t>
      </w:r>
      <w:r>
        <w:rPr>
          <w:rFonts w:ascii="Times New Roman" w:eastAsia="方正仿宋_GBK" w:cs="Times New Roman" w:hAnsi="Times New Roman"/>
          <w:kern w:val="2"/>
          <w:lang w:bidi="ar-SA"/>
        </w:rPr>
        <w:t>对东盟进出口670.4亿元，下降7.7%；</w:t>
      </w:r>
      <w:r>
        <w:rPr>
          <w:rFonts w:ascii="Times New Roman" w:eastAsia="方正仿宋_GBK" w:cs="Times New Roman" w:hAnsi="Times New Roman"/>
          <w:lang w:bidi="ar-SA"/>
        </w:rPr>
        <w:t>对欧盟进出口593.2亿元，下降3.9%；对美国进出口360.8亿元，下降14.5%；对俄罗斯进出口355.2亿元，下降13.9%。</w:t>
      </w:r>
      <w:r>
        <w:rPr>
          <w:rFonts w:ascii="Times New Roman" w:eastAsia="方正仿宋_GBK" w:cs="Times New Roman" w:hAnsi="Times New Roman"/>
          <w:kern w:val="2"/>
          <w:lang w:bidi="ar-SA"/>
        </w:rPr>
        <w:t>此外，对</w:t>
      </w:r>
      <w:r>
        <w:rPr>
          <w:rFonts w:ascii="Times New Roman" w:eastAsia="方正仿宋_GBK" w:cs="Times New Roman" w:hAnsi="Times New Roman"/>
          <w:lang w:bidi="ar-SA"/>
        </w:rPr>
        <w:t>共</w:t>
      </w:r>
      <w:r>
        <w:rPr>
          <w:rFonts w:ascii="方正仿宋_GBK" w:eastAsia="方正仿宋_GBK" w:cs="Times New Roman" w:hint="eastAsia"/>
          <w:lang w:bidi="ar-SA"/>
        </w:rPr>
        <w:t>建</w:t>
      </w:r>
      <w:r>
        <w:rPr>
          <w:rFonts w:ascii="方正仿宋_GBK" w:eastAsia="方正仿宋_GBK" w:cs="Times New Roman" w:hint="eastAsia"/>
          <w:kern w:val="2"/>
          <w:lang w:bidi="ar-SA"/>
        </w:rPr>
        <w:t>“一带一路”</w:t>
      </w:r>
      <w:r>
        <w:rPr>
          <w:rFonts w:ascii="方正仿宋_GBK" w:eastAsia="方正仿宋_GBK" w:cs="Times New Roman" w:hint="eastAsia"/>
          <w:lang w:bidi="ar-SA"/>
        </w:rPr>
        <w:t>国</w:t>
      </w:r>
      <w:r>
        <w:rPr>
          <w:rFonts w:ascii="Times New Roman" w:eastAsia="方正仿宋_GBK" w:cs="Times New Roman" w:hAnsi="Times New Roman"/>
          <w:lang w:bidi="ar-SA"/>
        </w:rPr>
        <w:t>家</w:t>
      </w:r>
      <w:r>
        <w:rPr>
          <w:rFonts w:ascii="Times New Roman" w:eastAsia="方正仿宋_GBK" w:cs="Times New Roman" w:hAnsi="Times New Roman"/>
          <w:kern w:val="2"/>
          <w:lang w:bidi="ar-SA"/>
        </w:rPr>
        <w:t>进出口3898.9亿元，增长20.1%，其中出口2209.8亿元，增长9.9%；进口1689.1亿元，增长36.7%。</w:t>
      </w:r>
    </w:p>
    <w:p>
      <w:pPr>
        <w:pStyle w:val="28"/>
        <w:adjustRightInd w:val="0"/>
        <w:snapToGrid w:val="0"/>
        <w:spacing w:line="560" w:lineRule="exact"/>
        <w:ind w:firstLineChars="200" w:firstLine="640"/>
      </w:pPr>
      <w:r>
        <w:rPr>
          <w:b/>
        </w:rPr>
        <w:t>（三）机电产品出口居首</w:t>
      </w:r>
      <w:r>
        <w:rPr>
          <w:b/>
          <w:kern w:val="0"/>
        </w:rPr>
        <w:t>。</w:t>
      </w:r>
      <w:r>
        <w:rPr>
          <w:kern w:val="0"/>
        </w:rPr>
        <w:t>出口产品中，机电产品</w:t>
      </w:r>
      <w:r>
        <w:rPr>
          <w:color w:val="000000"/>
          <w:kern w:val="0"/>
        </w:rPr>
        <w:t>出口1693.7亿元，增长1.9%</w:t>
      </w:r>
      <w:r>
        <w:rPr>
          <w:color w:val="000000"/>
        </w:rPr>
        <w:t>，占出口总值的47.5%，</w:t>
      </w:r>
      <w:r>
        <w:t>其中汽车出口461.6亿元，下降20.2%（出口47.6万辆，减少12.4%）。</w:t>
      </w:r>
      <w:r>
        <w:rPr>
          <w:color w:val="000000"/>
        </w:rPr>
        <w:t>劳动密集型产品出口496.9亿元，下降4.2%，</w:t>
      </w:r>
      <w:r>
        <w:t>其中纺织服装出口257.8亿元，下降5%。钢材出口322.7亿元，下降7%。此外，</w:t>
      </w:r>
      <w:r>
        <w:rPr>
          <w:rFonts w:ascii="方正仿宋_GBK" w:hint="eastAsia"/>
        </w:rPr>
        <w:t>“新三样”</w:t>
      </w:r>
      <w:r>
        <w:t>产品出口239.5亿元，下降28.4%，其中电动汽车出口197.1亿元，下降33.3%（出口17.5万辆，减少19%），光伏产品出口24.5亿元，下降30.8%，锂离子蓄电池出口18亿元，增长3.6倍。</w:t>
      </w:r>
    </w:p>
    <w:p>
      <w:pPr>
        <w:pStyle w:val="43"/>
        <w:widowControl w:val="0"/>
        <w:adjustRightInd w:val="0"/>
        <w:snapToGrid w:val="0"/>
        <w:spacing w:line="560" w:lineRule="exact"/>
        <w:ind w:firstLineChars="200" w:firstLine="640"/>
        <w:jc w:val="both"/>
        <w:rPr>
          <w:rFonts w:ascii="Times New Roman" w:eastAsia="方正仿宋_GBK" w:cs="Times New Roman" w:hAnsi="Times New Roman"/>
          <w:kern w:val="2"/>
          <w:lang w:bidi="ar-SA"/>
        </w:rPr>
      </w:pPr>
      <w:r>
        <w:rPr>
          <w:rFonts w:ascii="Times New Roman" w:eastAsia="方正仿宋_GBK" w:cs="Times New Roman" w:hAnsi="Times New Roman"/>
          <w:b/>
          <w:lang w:bidi="ar-SA"/>
        </w:rPr>
        <w:t>（四）大宗商品进口居首。</w:t>
      </w:r>
      <w:r>
        <w:rPr>
          <w:rFonts w:ascii="Times New Roman" w:eastAsia="方正仿宋_GBK" w:cs="Times New Roman" w:hAnsi="Times New Roman"/>
          <w:lang w:bidi="ar-SA"/>
        </w:rPr>
        <w:t>进口商品中，大宗商品</w:t>
      </w:r>
      <w:r>
        <w:rPr>
          <w:rFonts w:ascii="Times New Roman" w:eastAsia="方正仿宋_GBK" w:cs="Times New Roman" w:hAnsi="Times New Roman"/>
          <w:color w:val="000000"/>
          <w:lang w:bidi="ar-SA"/>
        </w:rPr>
        <w:t>进口1938.7亿元，增长27.9%，占进口总值的76.8%，其中进口铁矿砂727.1亿元，下降11.6%；进口原油514.1亿元，增长8.6倍；进口天然气264.6亿元，下降1.7%；进口大豆197.7亿元，下降1.3%；进口铝矿砂93.2亿元，增长52.3%；进口铜矿砂56.8亿元，增长30.8倍；进口煤及褐煤46.9亿元，下降35%。此外，</w:t>
      </w:r>
      <w:r>
        <w:rPr>
          <w:rFonts w:ascii="Times New Roman" w:eastAsia="方正仿宋_GBK" w:cs="Times New Roman" w:hAnsi="Times New Roman"/>
          <w:kern w:val="2"/>
          <w:lang w:bidi="ar-SA"/>
        </w:rPr>
        <w:t>进口农产品（与大宗商品有交叉）373.4亿元，下降7.6%；进口机电产品130.2亿元，下降13.7%；进口高新技术产品（与机电产品有交叉）68.9亿元，下降22.8%（表1）。</w:t>
      </w:r>
    </w:p>
    <w:tbl>
      <w:tblPr>
        <w:jc w:val="left"/>
        <w:tblInd w:w="0" w:type="dx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auto"/>
          <w:insideV w:val="single" w:sz="6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"/>
        <w:gridCol w:w="216"/>
        <w:gridCol w:w="0"/>
        <w:gridCol w:w="0"/>
        <w:gridCol w:w="7871"/>
      </w:tblGrid>
      <w:tr>
        <w:trPr>
          <w:trHeight w:val="284"/>
        </w:trPr>
        <w:tc>
          <w:tcPr>
            <w:tcW w:w="9061" w:type="dxa"/>
            <w:gridSpan w:val="5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4"/>
              <w:spacing w:line="560" w:lineRule="exact"/>
              <w:ind w:firstLineChars="100" w:firstLine="280"/>
              <w:jc w:val="center"/>
              <w:rPr>
                <w:rFonts w:ascii="方正小标宋_GBK" w:eastAsia="方正小标宋_GBK" w:cs="Times New Roman" w:hint="eastAsia"/>
                <w:sz w:val="28"/>
                <w:szCs w:val="28"/>
                <w:lang w:bidi="ar-SA"/>
              </w:rPr>
            </w:pPr>
          </w:p>
          <w:p>
            <w:pPr>
              <w:pStyle w:val="44"/>
              <w:spacing w:line="560" w:lineRule="exact"/>
              <w:ind w:firstLineChars="100" w:firstLine="280"/>
              <w:jc w:val="center"/>
              <w:rPr>
                <w:rFonts w:ascii="方正小标宋_GBK" w:eastAsia="方正小标宋_GBK" w:cs="Times New Roman" w:hint="eastAsia"/>
                <w:sz w:val="28"/>
                <w:szCs w:val="28"/>
                <w:lang w:bidi="ar-SA"/>
              </w:rPr>
            </w:pPr>
            <w:r>
              <w:rPr>
                <w:rFonts w:ascii="方正小标宋_GBK" w:eastAsia="方正小标宋_GBK" w:cs="Times New Roman" w:hint="eastAsia"/>
                <w:sz w:val="28"/>
                <w:szCs w:val="28"/>
                <w:lang w:bidi="ar-SA"/>
              </w:rPr>
              <w:t>表1  2025年1-11月河北省前十位商品进出口统计表</w:t>
            </w:r>
          </w:p>
          <w:tbl>
            <w:tblPr>
              <w:jc w:val="center"/>
              <w:tblW w:w="5000" w:type="pct"/>
              <w:tblBorders>
                <w:top w:val="single" w:sz="6" w:space="0" w:color="auto"/>
                <w:left w:val="none" w:sz="0" w:space="0" w:color="auto"/>
                <w:bottom w:val="single" w:sz="8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16"/>
              <w:gridCol w:w="1465"/>
              <w:gridCol w:w="1465"/>
              <w:gridCol w:w="1465"/>
              <w:gridCol w:w="1465"/>
              <w:gridCol w:w="1465"/>
            </w:tblGrid>
            <w:tr>
              <w:trPr>
                <w:trHeight w:hRule="exact" w:val="565"/>
              </w:trPr>
              <w:tc>
                <w:tcPr>
                  <w:tcW w:w="4446" w:type="dxa"/>
                  <w:gridSpan w:val="3"/>
                  <w:tcBorders>
                    <w:tl2br w:val="nil"/>
                    <w:tr2bl w:val="nil"/>
                  </w:tcBorders>
                  <w:noWrap/>
                  <w:tcMar>
                    <w:left w:w="108" w:type="dxa"/>
                    <w:right w:w="108" w:type="dxa"/>
                  </w:tcMar>
                </w:tcPr>
                <w:p>
                  <w:pPr>
                    <w:pStyle w:val="44"/>
                    <w:adjustRightInd w:val="0"/>
                    <w:snapToGrid w:val="0"/>
                    <w:spacing w:line="560" w:lineRule="exact"/>
                    <w:jc w:val="center"/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  <w:t>出口</w:t>
                  </w:r>
                </w:p>
              </w:tc>
              <w:tc>
                <w:tcPr>
                  <w:tcW w:w="4395" w:type="dxa"/>
                  <w:gridSpan w:val="3"/>
                  <w:tcBorders>
                    <w:tl2br w:val="nil"/>
                    <w:tr2bl w:val="nil"/>
                  </w:tcBorders>
                  <w:noWrap/>
                </w:tcPr>
                <w:p>
                  <w:pPr>
                    <w:pStyle w:val="44"/>
                    <w:adjustRightInd w:val="0"/>
                    <w:snapToGrid w:val="0"/>
                    <w:spacing w:line="560" w:lineRule="exact"/>
                    <w:jc w:val="center"/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  <w:t>进口</w:t>
                  </w:r>
                </w:p>
              </w:tc>
            </w:tr>
            <w:tr>
              <w:trPr>
                <w:trHeight w:hRule="exact" w:val="565"/>
              </w:trPr>
              <w:tc>
                <w:tcPr>
                  <w:tcW w:w="1516" w:type="dxa"/>
                  <w:tcBorders>
                    <w:tl2br w:val="nil"/>
                    <w:tr2bl w:val="nil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44"/>
                    <w:adjustRightInd w:val="0"/>
                    <w:snapToGrid w:val="0"/>
                    <w:spacing w:line="560" w:lineRule="exact"/>
                    <w:jc w:val="center"/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  <w:t>商品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44"/>
                    <w:adjustRightInd w:val="0"/>
                    <w:snapToGrid w:val="0"/>
                    <w:spacing w:line="560" w:lineRule="exact"/>
                    <w:jc w:val="center"/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  <w:t>金额（亿）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4"/>
                    <w:adjustRightInd w:val="0"/>
                    <w:snapToGrid w:val="0"/>
                    <w:spacing w:line="560" w:lineRule="exact"/>
                    <w:jc w:val="center"/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  <w:t>同比（%）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4"/>
                    <w:adjustRightInd w:val="0"/>
                    <w:snapToGrid w:val="0"/>
                    <w:spacing w:line="560" w:lineRule="exact"/>
                    <w:jc w:val="center"/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  <w:t>商品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44"/>
                    <w:adjustRightInd w:val="0"/>
                    <w:snapToGrid w:val="0"/>
                    <w:spacing w:line="560" w:lineRule="exact"/>
                    <w:jc w:val="center"/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  <w:t>金额（亿）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4"/>
                    <w:adjustRightInd w:val="0"/>
                    <w:snapToGrid w:val="0"/>
                    <w:spacing w:line="560" w:lineRule="exact"/>
                    <w:jc w:val="center"/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  <w:t>同比（%）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6" w:type="dxa"/>
                  <w:tcBorders>
                    <w:tl2br w:val="nil"/>
                    <w:tr2bl w:val="nil"/>
                  </w:tcBorders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46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机电产品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6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1693.7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6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1.9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46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铁矿砂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6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727.1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6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-11.6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6" w:type="dxa"/>
                  <w:tcBorders>
                    <w:tl2br w:val="nil"/>
                    <w:tr2bl w:val="nil"/>
                  </w:tcBorders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46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钢材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6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322.7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6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-7.0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46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原油 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6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514.1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6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862.0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6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46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纺织服装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6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257.8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6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-5.0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46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农产品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6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373.4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6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-7.6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6" w:type="dxa"/>
                  <w:tcBorders>
                    <w:tl2br w:val="nil"/>
                    <w:tr2bl w:val="nil"/>
                  </w:tcBorders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46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高新技术产品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6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222.4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6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10.9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46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天然气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6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264.6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6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-1.7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6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46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农产品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6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166.3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6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6.6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46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机电产品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6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130.2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6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-13.7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6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46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基本有机化学品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6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101.2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6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6.6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46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铝矿砂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6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93.2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6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52.3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6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46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医药材及药品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6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100.2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6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7.1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46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高新技术产品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6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68.9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6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-22.8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6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46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家具及其零件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6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99.4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6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1.8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46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铜矿砂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6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56.8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6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3075.4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6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46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塑料制品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6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89.2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6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-2.0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46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煤及褐煤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6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46.9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6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-35.0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6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46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成品油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6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87.0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6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3110.2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46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沥青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6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30.2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6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-72.4 </w:t>
                  </w:r>
                </w:p>
              </w:tc>
            </w:tr>
          </w:tbl>
          <w:p>
            <w:pPr>
              <w:pStyle w:val="46"/>
              <w:jc w:val="center"/>
              <w:rPr>
                <w:rFonts w:ascii="方正小标宋_GBK" w:eastAsia="方正小标宋_GBK" w:cs="宋体" w:hint="eastAsia"/>
                <w:sz w:val="28"/>
                <w:szCs w:val="28"/>
                <w:lang w:bidi="ar-SA"/>
              </w:rPr>
            </w:pPr>
          </w:p>
          <w:p>
            <w:pPr>
              <w:pStyle w:val="46"/>
              <w:rPr>
                <w:rFonts w:ascii="宋体" w:eastAsia="宋体" w:cs="宋体" w:hint="eastAsia"/>
                <w:sz w:val="24"/>
                <w:lang w:bidi="ar-SA"/>
              </w:rPr>
            </w:pPr>
          </w:p>
        </w:tc>
      </w:tr>
    </w:tbl>
    <w:p/>
    <w:sectPr>
      <w:pgSz w:w="11907" w:h="16839"/>
      <w:pgMar w:top="1440" w:right="1800" w:bottom="1440" w:left="1800" w:header="851" w:footer="992" w:gutter="0"/>
      <w:docGrid w:type="lines" w:linePitch="435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华文宋体"/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Arial">
    <w:altName w:val="DejaVu Sans"/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altName w:val="华文细黑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方正楷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displayBackgroundShape/>
  <w:bordersDoNotSurroundHeader/>
  <w:bordersDoNotSurroundFooter/>
  <w:trackRevisions/>
  <w:defaultTabStop w:val="420"/>
  <w:drawingGridHorizontalSpacing w:val="160"/>
  <w:drawingGridVerticalSpacing w:val="217"/>
  <w:displayHorizontalDrawingGridEvery w:val="0"/>
  <w:displayVerticalDrawingGridEvery w:val="1"/>
  <w:characterSpacingControl w:val="compressPunctuation"/>
  <w:compat>
    <w:balanceSingleByteDoubleByteWidth/>
    <w:ulTrailSpace/>
    <w:doNotExpandShiftReturn/>
    <w:adjustLineHeightInTable/>
    <w:compatSetting w:name="compatibilityMode" w:uri="http://schemas.microsoft.com/office/word" w:val="15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toc 4"/>
    <w:basedOn w:val="0"/>
    <w:autoRedefine/>
    <w:next w:val="0"/>
    <w:pPr>
      <w:ind w:left="1260"/>
    </w:pPr>
  </w:style>
  <w:style w:type="paragraph" w:styleId="16">
    <w:name w:val="toc 5"/>
    <w:basedOn w:val="0"/>
    <w:autoRedefine/>
    <w:next w:val="0"/>
    <w:pPr>
      <w:ind w:left="1680"/>
    </w:pPr>
  </w:style>
  <w:style w:type="paragraph" w:styleId="17">
    <w:name w:val="toc 6"/>
    <w:basedOn w:val="0"/>
    <w:autoRedefine/>
    <w:next w:val="0"/>
    <w:pPr>
      <w:ind w:left="2100"/>
    </w:pPr>
  </w:style>
  <w:style w:type="paragraph" w:styleId="18">
    <w:name w:val="toc 7"/>
    <w:basedOn w:val="0"/>
    <w:autoRedefine/>
    <w:next w:val="0"/>
    <w:pPr>
      <w:ind w:left="2520"/>
    </w:pPr>
  </w:style>
  <w:style w:type="paragraph" w:styleId="19">
    <w:name w:val="toc 8"/>
    <w:basedOn w:val="0"/>
    <w:autoRedefine/>
    <w:next w:val="0"/>
    <w:pPr>
      <w:ind w:left="2940"/>
    </w:pPr>
  </w:style>
  <w:style w:type="paragraph" w:styleId="20">
    <w:name w:val="toc 9"/>
    <w:basedOn w:val="0"/>
    <w:autoRedefine/>
    <w:next w:val="0"/>
    <w:pPr>
      <w:ind w:left="3360"/>
    </w:pPr>
  </w:style>
  <w:style w:type="paragraph" w:styleId="21">
    <w:name w:val="Normal Indent"/>
    <w:basedOn w:val="0"/>
    <w:pPr>
      <w:ind w:firstLine="420"/>
    </w:pPr>
  </w:style>
  <w:style w:type="paragraph" w:styleId="22">
    <w:name w:val="footnote text"/>
    <w:basedOn w:val="0"/>
    <w:pPr>
      <w:snapToGrid w:val="0"/>
      <w:jc w:val="left"/>
    </w:pPr>
    <w:rPr>
      <w:sz w:val="18"/>
    </w:rPr>
  </w:style>
  <w:style w:type="paragraph" w:styleId="23">
    <w:name w:val="annotation text"/>
    <w:basedOn w:val="0"/>
    <w:pPr>
      <w:jc w:val="left"/>
    </w:pPr>
  </w:style>
  <w:style w:type="paragraph" w:styleId="24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25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26">
    <w:name w:val="caption"/>
    <w:basedOn w:val="0"/>
    <w:next w:val="0"/>
    <w:rPr>
      <w:rFonts w:ascii="Arial" w:eastAsia="黑体" w:hAnsi="Arial"/>
      <w:b/>
      <w:sz w:val="20"/>
    </w:rPr>
  </w:style>
  <w:style w:type="paragraph" w:styleId="27">
    <w:name w:val="table of figures"/>
    <w:basedOn w:val="0"/>
    <w:next w:val="0"/>
  </w:style>
  <w:style w:type="paragraph" w:styleId="28">
    <w:name w:val="Salutation"/>
    <w:next w:val="0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styleId="29">
    <w:name w:val="HTML Address"/>
    <w:next w:val="26"/>
    <w:pPr>
      <w:widowControl w:val="0"/>
      <w:jc w:val="both"/>
    </w:pPr>
    <w:rPr>
      <w:rFonts w:ascii="Times New Roman" w:eastAsia="方正仿宋_GBK" w:cs="Times New Roman" w:hAnsi="Times New Roman"/>
      <w:i/>
      <w:kern w:val="2"/>
      <w:sz w:val="32"/>
      <w:szCs w:val="32"/>
      <w:lang w:val="en-US" w:eastAsia="zh-CN" w:bidi="ar-SA"/>
    </w:rPr>
  </w:style>
  <w:style w:type="paragraph" w:customStyle="1" w:styleId="30">
    <w:name w:val="样式 509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31">
    <w:name w:val="样式 510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32">
    <w:name w:val="样式 511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33">
    <w:name w:val="样式 81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34">
    <w:name w:val="样式 84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35">
    <w:name w:val="样式 512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36">
    <w:name w:val="样式 32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37">
    <w:name w:val="样式 33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38">
    <w:name w:val="样式 231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39">
    <w:name w:val="样式 8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40">
    <w:name w:val="样式 44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41">
    <w:name w:val="样式 51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42">
    <w:name w:val="样式 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43">
    <w:name w:val="样式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44">
    <w:name w:val="样式 2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45">
    <w:name w:val="样式 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46">
    <w:name w:val="样式 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47">
    <w:name w:val="样式 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"/>
    <sectPr/>
  </customProps>
</customData>
</file>

<file path=customXml/itemProps1.xml><?xml version="1.0" encoding="utf-8"?>
<ds:datastoreItem xmlns:ds="http://schemas.openxmlformats.org/officeDocument/2006/customXml" ds:itemID="{76AB1D27-10FB-4019-B3C5-4EBC2C9F854E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4</TotalTime>
  <Application>Yozo_Office27021597764231179</Application>
  <Pages>3</Pages>
  <Words>0</Words>
  <Characters>1194</Characters>
  <Lines>0</Lines>
  <Paragraphs>11</Paragraphs>
  <CharactersWithSpaces>1592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</dc:creator>
  <cp:lastModifiedBy>吴迪</cp:lastModifiedBy>
  <cp:revision>1</cp:revision>
  <dcterms:created xsi:type="dcterms:W3CDTF">2025-12-17T00:30:34Z</dcterms:created>
  <dcterms:modified xsi:type="dcterms:W3CDTF">2026-03-27T08:09:21Z</dcterms:modified>
</cp:coreProperties>
</file>