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ind w:right="34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bookmarkStart w:id="0" w:name="wpds__标题__Text"/>
      <w:bookmarkStart w:id="1" w:name="_GoBack"/>
      <w:bookmarkEnd w:id="1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2025年河北省进出口</w:t>
      </w:r>
      <w:bookmarkEnd w:id="0"/>
      <w:r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情况</w:t>
      </w:r>
    </w:p>
    <w:p>
      <w:pPr>
        <w:ind w:right="34"/>
        <w:jc w:val="center"/>
        <w:rPr>
          <w:rFonts w:ascii="方正仿宋_GBK" w:eastAsia="方正小标宋_GBK" w:hAnsi="方正仿宋_GBK"/>
          <w:spacing w:val="-4"/>
        </w:rPr>
      </w:pPr>
    </w:p>
    <w:p>
      <w:pPr>
        <w:pStyle w:val="39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cs="Times New Roman" w:hint="eastAsia"/>
          <w:lang w:bidi="ar-SA"/>
        </w:rPr>
      </w:pPr>
      <w:r>
        <w:rPr>
          <w:rFonts w:ascii="方正黑体_GBK" w:eastAsia="方正黑体_GBK" w:cs="Times New Roman" w:hint="eastAsia"/>
          <w:lang w:bidi="ar-SA"/>
        </w:rPr>
        <w:t>一、进出口整体情况</w:t>
      </w:r>
    </w:p>
    <w:p>
      <w:pPr>
        <w:pStyle w:val="40"/>
        <w:adjustRightInd w:val="0"/>
        <w:snapToGrid w:val="0"/>
        <w:spacing w:line="560" w:lineRule="exact"/>
        <w:ind w:firstLineChars="200" w:firstLine="640"/>
        <w:rPr>
          <w:rFonts w:cs="Times New Roman"/>
          <w:color w:val="000000"/>
          <w:lang w:bidi="ar-SA"/>
        </w:rPr>
      </w:pPr>
      <w:r>
        <w:rPr>
          <w:rFonts w:cs="Times New Roman"/>
          <w:color w:val="000000"/>
          <w:lang w:bidi="ar-SA"/>
        </w:rPr>
        <w:t>2025年，河北省外贸进出口总值6822.2亿元人民币（下同），同比（下同）增长11%。其中，出口3929.7亿元，增长5.5%；进口2892.5亿元，增长19.3%。12月当月进出口730.8亿元，增长30.2%，环比增长15.2%。其中，出口364.4亿元，增长9.7%，环比增长1.8%；进口366.4亿元，增长59.9%，环比增长32.4%。</w:t>
      </w:r>
    </w:p>
    <w:p>
      <w:pPr>
        <w:pStyle w:val="43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方正黑体_GBK" w:eastAsia="方正黑体_GBK" w:cs="Times New Roman" w:hint="eastAsia"/>
          <w:lang w:bidi="ar-SA"/>
        </w:rPr>
      </w:pPr>
      <w:r>
        <w:rPr>
          <w:rFonts w:ascii="方正黑体_GBK" w:eastAsia="方正黑体_GBK" w:cs="Times New Roman" w:hint="eastAsia"/>
          <w:lang w:bidi="ar-SA"/>
        </w:rPr>
        <w:t>二、进出口主要特点</w:t>
      </w:r>
    </w:p>
    <w:p>
      <w:pPr>
        <w:pStyle w:val="44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ascii="Times New Roman" w:eastAsia="方正仿宋_GBK" w:cs="Times New Roman" w:hAnsi="Times New Roman"/>
          <w:b/>
          <w:lang w:bidi="ar-SA"/>
        </w:rPr>
        <w:t>（一）以一般贸易为主。</w:t>
      </w:r>
      <w:r>
        <w:rPr>
          <w:rFonts w:ascii="Times New Roman" w:eastAsia="方正仿宋_GBK" w:cs="Times New Roman" w:hAnsi="Times New Roman"/>
          <w:color w:val="000000"/>
          <w:lang w:bidi="ar-SA"/>
        </w:rPr>
        <w:t>一般贸易进出口5847.2亿元，增长6.5%，占进出口总值的85.7%。</w:t>
      </w:r>
      <w:r>
        <w:rPr>
          <w:rFonts w:ascii="Times New Roman" w:eastAsia="方正仿宋_GBK" w:cs="Times New Roman" w:hAnsi="Times New Roman"/>
          <w:lang w:bidi="ar-SA"/>
        </w:rPr>
        <w:t>保税物流进出口553.2亿元，增长63.9%。加工贸易进出口277.2亿元，增长39.1%。</w:t>
      </w:r>
    </w:p>
    <w:p>
      <w:pPr>
        <w:pStyle w:val="45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color w:val="000000"/>
          <w:lang w:bidi="ar-SA"/>
        </w:rPr>
      </w:pPr>
      <w:r>
        <w:rPr>
          <w:rFonts w:ascii="Times New Roman" w:eastAsia="方正仿宋_GBK" w:cs="Times New Roman" w:hAnsi="Times New Roman"/>
          <w:b/>
          <w:bCs/>
          <w:lang w:bidi="ar-SA"/>
        </w:rPr>
        <w:t>（二）</w:t>
      </w:r>
      <w:r>
        <w:rPr>
          <w:rFonts w:ascii="Times New Roman" w:eastAsia="方正仿宋_GBK" w:cs="Times New Roman" w:hAnsi="Times New Roman"/>
          <w:b/>
          <w:color w:val="000000"/>
          <w:lang w:bidi="ar-SA"/>
        </w:rPr>
        <w:t>新兴市场成为增长引擎。</w:t>
      </w:r>
      <w:r>
        <w:rPr>
          <w:rFonts w:ascii="Times New Roman" w:eastAsia="方正仿宋_GBK" w:cs="Times New Roman" w:hAnsi="Times New Roman"/>
          <w:color w:val="000000"/>
          <w:lang w:bidi="ar-SA"/>
        </w:rPr>
        <w:t>对拉丁美洲、非洲、中亚等新兴市场分别进出口1069.3亿元、644.7亿元、102.2亿元，分别增长18.8%、51.4%、1.1倍，合计拉动全省进出口增长7.2个百分点。同期，我省主要贸易伙伴中，对澳大利亚进出口754.3亿元，下降10.5%；</w:t>
      </w:r>
      <w:r>
        <w:rPr>
          <w:rFonts w:ascii="Times New Roman" w:eastAsia="方正仿宋_GBK" w:cs="Times New Roman" w:hAnsi="Times New Roman"/>
          <w:kern w:val="2"/>
          <w:lang w:bidi="ar-SA"/>
        </w:rPr>
        <w:t>对东盟进出口725.1亿元，下降8.4%；</w:t>
      </w:r>
      <w:r>
        <w:rPr>
          <w:rFonts w:ascii="Times New Roman" w:eastAsia="方正仿宋_GBK" w:cs="Times New Roman" w:hAnsi="Times New Roman"/>
          <w:lang w:bidi="ar-SA"/>
        </w:rPr>
        <w:t>对欧盟进出口649亿元，下降3.3%；对俄罗斯进出口427.7亿元，下降6.5%；对美国进出口391.2亿元，下降16.2%。</w:t>
      </w:r>
      <w:r>
        <w:rPr>
          <w:rFonts w:ascii="Times New Roman" w:eastAsia="方正仿宋_GBK" w:cs="Times New Roman" w:hAnsi="Times New Roman"/>
          <w:kern w:val="2"/>
          <w:lang w:bidi="ar-SA"/>
        </w:rPr>
        <w:t>此外，对</w:t>
      </w:r>
      <w:r>
        <w:rPr>
          <w:rFonts w:ascii="Times New Roman" w:eastAsia="方正仿宋_GBK" w:cs="Times New Roman" w:hAnsi="Times New Roman"/>
          <w:lang w:bidi="ar-SA"/>
        </w:rPr>
        <w:t>共</w:t>
      </w:r>
      <w:r>
        <w:rPr>
          <w:rFonts w:ascii="方正仿宋_GBK" w:eastAsia="方正仿宋_GBK" w:cs="Times New Roman" w:hint="eastAsia"/>
          <w:lang w:bidi="ar-SA"/>
        </w:rPr>
        <w:t>建</w:t>
      </w:r>
      <w:r>
        <w:rPr>
          <w:rFonts w:ascii="方正仿宋_GBK" w:eastAsia="方正仿宋_GBK" w:cs="Times New Roman" w:hint="eastAsia"/>
          <w:kern w:val="2"/>
          <w:lang w:bidi="ar-SA"/>
        </w:rPr>
        <w:t>“一带一路”</w:t>
      </w:r>
      <w:r>
        <w:rPr>
          <w:rFonts w:ascii="方正仿宋_GBK" w:eastAsia="方正仿宋_GBK" w:cs="Times New Roman" w:hint="eastAsia"/>
          <w:lang w:bidi="ar-SA"/>
        </w:rPr>
        <w:t>国</w:t>
      </w:r>
      <w:r>
        <w:rPr>
          <w:rFonts w:ascii="Times New Roman" w:eastAsia="方正仿宋_GBK" w:cs="Times New Roman" w:hAnsi="Times New Roman"/>
          <w:lang w:bidi="ar-SA"/>
        </w:rPr>
        <w:t>家</w:t>
      </w:r>
      <w:r>
        <w:rPr>
          <w:rFonts w:ascii="Times New Roman" w:eastAsia="方正仿宋_GBK" w:cs="Times New Roman" w:hAnsi="Times New Roman"/>
          <w:kern w:val="2"/>
          <w:lang w:bidi="ar-SA"/>
        </w:rPr>
        <w:t>进出口4405.3亿元，占全省进出口总值的64.6%，增长22.9%，其中出口2438.7亿元，增长10.1%；进口1966.6亿元，增长43.8%。</w:t>
      </w:r>
    </w:p>
    <w:p>
      <w:pPr>
        <w:pStyle w:val="38"/>
        <w:adjustRightInd w:val="0"/>
        <w:snapToGrid w:val="0"/>
        <w:spacing w:line="560" w:lineRule="exact"/>
        <w:ind w:firstLineChars="200" w:firstLine="640"/>
      </w:pPr>
      <w:r>
        <w:rPr>
          <w:b/>
        </w:rPr>
        <w:t>（三）机电产品出口居首</w:t>
      </w:r>
      <w:r>
        <w:rPr>
          <w:b/>
          <w:kern w:val="0"/>
        </w:rPr>
        <w:t>。</w:t>
      </w:r>
      <w:r>
        <w:rPr>
          <w:kern w:val="0"/>
        </w:rPr>
        <w:t>出口产品中，机电产品</w:t>
      </w:r>
      <w:r>
        <w:rPr>
          <w:color w:val="000000"/>
          <w:kern w:val="0"/>
        </w:rPr>
        <w:t>出口1882.1亿元，增长3.3%</w:t>
      </w:r>
      <w:r>
        <w:rPr>
          <w:color w:val="000000"/>
        </w:rPr>
        <w:t>，占出口总值的47.9%，</w:t>
      </w:r>
      <w:r>
        <w:t>其中汽车出口512.7亿元，下降17.6%（出口52.9万辆，减少10.2%）。</w:t>
      </w:r>
      <w:r>
        <w:rPr>
          <w:color w:val="000000"/>
        </w:rPr>
        <w:t>劳动密集型产品出口543.4亿元，下降5%，</w:t>
      </w:r>
      <w:r>
        <w:t>其中纺织服装出口280.1亿元，下降6.4%。钢材出口353.7亿元，下降5.7%。此外，</w:t>
      </w:r>
      <w:r>
        <w:rPr>
          <w:rFonts w:ascii="方正仿宋_GBK" w:hint="eastAsia"/>
        </w:rPr>
        <w:t>“新三样”</w:t>
      </w:r>
      <w:r>
        <w:t>产品出口260亿元，下降25.2%，其中电动汽车出口212.8亿元，下降30.7%（出口18.9万辆，减少16.3%），光伏产品出口25.9亿元，下降27.7%，锂离子蓄电池出口21.3亿元，增长3.8倍。</w:t>
      </w:r>
    </w:p>
    <w:p>
      <w:pPr>
        <w:pStyle w:val="47"/>
        <w:widowControl w:val="0"/>
        <w:adjustRightInd w:val="0"/>
        <w:snapToGrid w:val="0"/>
        <w:spacing w:line="560" w:lineRule="exact"/>
        <w:ind w:firstLineChars="200" w:firstLine="640"/>
        <w:jc w:val="both"/>
        <w:rPr>
          <w:rFonts w:ascii="Times New Roman" w:eastAsia="方正仿宋_GBK" w:cs="Times New Roman" w:hAnsi="Times New Roman"/>
          <w:kern w:val="2"/>
          <w:lang w:bidi="ar-SA"/>
        </w:rPr>
      </w:pPr>
      <w:r>
        <w:rPr>
          <w:rFonts w:ascii="Times New Roman" w:eastAsia="方正仿宋_GBK" w:cs="Times New Roman" w:hAnsi="Times New Roman"/>
          <w:b/>
          <w:lang w:bidi="ar-SA"/>
        </w:rPr>
        <w:t>（四）大宗商品进口居首。</w:t>
      </w:r>
      <w:r>
        <w:rPr>
          <w:rFonts w:ascii="Times New Roman" w:eastAsia="方正仿宋_GBK" w:cs="Times New Roman" w:hAnsi="Times New Roman"/>
          <w:lang w:bidi="ar-SA"/>
        </w:rPr>
        <w:t>进口商品中，大宗商品</w:t>
      </w:r>
      <w:r>
        <w:rPr>
          <w:rFonts w:ascii="Times New Roman" w:eastAsia="方正仿宋_GBK" w:cs="Times New Roman" w:hAnsi="Times New Roman"/>
          <w:color w:val="000000"/>
          <w:lang w:bidi="ar-SA"/>
        </w:rPr>
        <w:t>进口2246.3亿元，增长33.2%，占进口总值的77.7%，其中进口铁矿砂792.5亿元，下降12.5%；进口原油626亿元，增长8.8倍；进口天然气341亿元，增长11.4%；进口大豆224.9亿元，增长4%；进口铝矿砂100.4亿元，增长41.9%；进口铜矿砂65.6亿元，增长35.5倍；进口煤及褐煤53.7亿元，下降34%。此外，</w:t>
      </w:r>
      <w:r>
        <w:rPr>
          <w:rFonts w:ascii="Times New Roman" w:eastAsia="方正仿宋_GBK" w:cs="Times New Roman" w:hAnsi="Times New Roman"/>
          <w:kern w:val="2"/>
          <w:lang w:bidi="ar-SA"/>
        </w:rPr>
        <w:t>进口农产品（与大宗商品有交叉）416.2亿元，下降5.4%；进口机电产品146.3亿元，下降8.6%；进口高新技术产品（与机电产品有交叉）78亿元，下降15.9%（表1）。</w:t>
      </w:r>
    </w:p>
    <w:tbl>
      <w:tblPr>
        <w:jc w:val="left"/>
        <w:tblInd w:w="-2" w:type="dxa"/>
        <w:tblW w:w="54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4"/>
      </w:tblGrid>
      <w:tr>
        <w:trPr>
          <w:trHeight w:val="284"/>
        </w:trPr>
        <w:tc>
          <w:tcPr>
            <w:tcW w:w="9064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8"/>
              <w:spacing w:line="560" w:lineRule="exact"/>
              <w:ind w:firstLineChars="100" w:firstLine="280"/>
              <w:jc w:val="center"/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</w:pPr>
          </w:p>
          <w:p>
            <w:pPr>
              <w:pStyle w:val="48"/>
              <w:spacing w:line="560" w:lineRule="exact"/>
              <w:ind w:firstLineChars="100" w:firstLine="280"/>
              <w:jc w:val="center"/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</w:pPr>
            <w:r>
              <w:rPr>
                <w:rFonts w:ascii="方正小标宋_GBK" w:eastAsia="方正小标宋_GBK" w:cs="Times New Roman" w:hint="eastAsia"/>
                <w:sz w:val="28"/>
                <w:szCs w:val="28"/>
                <w:lang w:bidi="ar-SA"/>
              </w:rPr>
              <w:t>表1  2025年河北省前十位商品进出口统计表</w:t>
            </w:r>
          </w:p>
          <w:tbl>
            <w:tblPr>
              <w:jc w:val="center"/>
              <w:tblW w:w="5000" w:type="pct"/>
              <w:tblBorders>
                <w:top w:val="single" w:sz="6" w:space="0" w:color="auto"/>
                <w:left w:val="none" w:sz="0" w:space="0" w:color="auto"/>
                <w:bottom w:val="single" w:sz="8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5"/>
              <w:gridCol w:w="1465"/>
              <w:gridCol w:w="1465"/>
              <w:gridCol w:w="1465"/>
              <w:gridCol w:w="1465"/>
              <w:gridCol w:w="1465"/>
            </w:tblGrid>
            <w:tr>
              <w:trPr>
                <w:trHeight w:hRule="exact" w:val="565"/>
              </w:trPr>
              <w:tc>
                <w:tcPr>
                  <w:tcW w:w="4445" w:type="dxa"/>
                  <w:gridSpan w:val="3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出口</w:t>
                  </w:r>
                </w:p>
              </w:tc>
              <w:tc>
                <w:tcPr>
                  <w:tcW w:w="4395" w:type="dxa"/>
                  <w:gridSpan w:val="3"/>
                  <w:tcBorders>
                    <w:tl2br w:val="nil"/>
                    <w:tr2bl w:val="nil"/>
                  </w:tcBorders>
                  <w:noWrap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进口</w:t>
                  </w:r>
                </w:p>
              </w:tc>
            </w:tr>
            <w:tr>
              <w:trPr>
                <w:trHeight w:hRule="exact" w:val="565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商品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金额（亿）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8"/>
                    <w:adjustRightInd w:val="0"/>
                    <w:snapToGrid w:val="0"/>
                    <w:spacing w:line="560" w:lineRule="exact"/>
                    <w:jc w:val="center"/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Times New Roman" w:hint="eastAsia"/>
                      <w:b/>
                      <w:bCs/>
                      <w:sz w:val="21"/>
                      <w:szCs w:val="21"/>
                      <w:lang w:bidi="ar-SA"/>
                    </w:rPr>
                    <w:t>同比（%）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1882.1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铁矿砂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792.5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-12.5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钢材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353.7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-5.7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原油 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626.0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875.6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纺织服装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280.1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-6.4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416.2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-5.4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249.9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13.5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天然气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341.0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11.4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农产品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183.7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机电产品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146.3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-8.6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基本有机化学品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111.9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铝矿砂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100.4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41.9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医药材及药品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110.3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高新技术产品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78.0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-15.9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家具及其零件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109.8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1.4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铜矿砂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65.6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3554.3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center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塑料制品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98.3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-2.5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煤及褐煤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53.7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-34.0 </w:t>
                  </w:r>
                </w:p>
              </w:tc>
            </w:tr>
            <w:tr>
              <w:trPr>
                <w:trHeight w:hRule="exact" w:val="452"/>
              </w:trPr>
              <w:tc>
                <w:tcPr>
                  <w:tcW w:w="151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成品油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92.2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3010.9 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noWrap/>
                  <w:vAlign w:val="bottom"/>
                </w:tcPr>
                <w:p>
                  <w:pPr>
                    <w:pStyle w:val="49"/>
                    <w:jc w:val="left"/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</w:pPr>
                  <w:r>
                    <w:rPr>
                      <w:rFonts w:ascii="宋体" w:eastAsia="宋体" w:cs="宋体" w:hint="eastAsia"/>
                      <w:sz w:val="21"/>
                      <w:szCs w:val="21"/>
                      <w:lang w:bidi="ar-SA"/>
                    </w:rPr>
                    <w:t>沥青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>32.9</w:t>
                  </w:r>
                </w:p>
              </w:tc>
              <w:tc>
                <w:tcPr>
                  <w:tcW w:w="1465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pStyle w:val="49"/>
                    <w:jc w:val="center"/>
                    <w:rPr>
                      <w:rFonts w:eastAsia="宋体" w:cs="宋体"/>
                      <w:sz w:val="21"/>
                      <w:szCs w:val="21"/>
                      <w:lang w:bidi="ar-SA"/>
                    </w:rPr>
                  </w:pPr>
                  <w:r>
                    <w:rPr>
                      <w:rFonts w:eastAsia="宋体" w:cs="宋体"/>
                      <w:sz w:val="21"/>
                      <w:szCs w:val="21"/>
                      <w:lang w:bidi="ar-SA"/>
                    </w:rPr>
                    <w:t xml:space="preserve">-72.1 </w:t>
                  </w:r>
                </w:p>
              </w:tc>
            </w:tr>
          </w:tbl>
          <w:p>
            <w:pPr>
              <w:pStyle w:val="49"/>
              <w:jc w:val="center"/>
              <w:rPr>
                <w:rFonts w:ascii="方正小标宋_GBK" w:eastAsia="方正小标宋_GBK" w:cs="宋体" w:hint="eastAsia"/>
                <w:sz w:val="28"/>
                <w:szCs w:val="28"/>
                <w:lang w:bidi="ar-SA"/>
              </w:rPr>
            </w:pPr>
          </w:p>
          <w:p>
            <w:pPr>
              <w:pStyle w:val="49"/>
              <w:rPr>
                <w:rFonts w:ascii="宋体" w:eastAsia="宋体" w:cs="宋体" w:hint="eastAsia"/>
                <w:sz w:val="24"/>
                <w:lang w:bidi="ar-SA"/>
              </w:rPr>
            </w:pP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Calibr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balanceSingleByteDoubleByteWidth/>
    <w:ulTrailSpace/>
    <w:doNotExpandShiftReturn/>
    <w:adjustLineHeightInTable/>
    <w:compatSetting w:name="compatibilityMode" w:uri="http://schemas.microsoft.com/office/word" w:val="15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2"/>
    <w:basedOn w:val="0"/>
    <w:autoRedefine/>
    <w:next w:val="0"/>
    <w:pPr>
      <w:ind w:left="420"/>
    </w:pPr>
  </w:style>
  <w:style w:type="paragraph" w:styleId="16">
    <w:name w:val="toc 3"/>
    <w:basedOn w:val="0"/>
    <w:autoRedefine/>
    <w:next w:val="0"/>
    <w:pPr>
      <w:ind w:left="840"/>
    </w:pPr>
  </w:style>
  <w:style w:type="paragraph" w:styleId="17">
    <w:name w:val="toc 4"/>
    <w:basedOn w:val="0"/>
    <w:autoRedefine/>
    <w:next w:val="0"/>
    <w:pPr>
      <w:ind w:left="1260"/>
    </w:pPr>
  </w:style>
  <w:style w:type="paragraph" w:styleId="18">
    <w:name w:val="toc 5"/>
    <w:basedOn w:val="0"/>
    <w:autoRedefine/>
    <w:next w:val="0"/>
    <w:pPr>
      <w:ind w:left="1680"/>
    </w:pPr>
  </w:style>
  <w:style w:type="paragraph" w:styleId="19">
    <w:name w:val="toc 6"/>
    <w:basedOn w:val="0"/>
    <w:autoRedefine/>
    <w:next w:val="0"/>
    <w:pPr>
      <w:ind w:left="2100"/>
    </w:pPr>
  </w:style>
  <w:style w:type="paragraph" w:styleId="20">
    <w:name w:val="toc 7"/>
    <w:basedOn w:val="0"/>
    <w:autoRedefine/>
    <w:next w:val="0"/>
    <w:pPr>
      <w:ind w:left="2520"/>
    </w:pPr>
  </w:style>
  <w:style w:type="paragraph" w:styleId="21">
    <w:name w:val="toc 8"/>
    <w:basedOn w:val="0"/>
    <w:autoRedefine/>
    <w:next w:val="0"/>
    <w:pPr>
      <w:ind w:left="2940"/>
    </w:pPr>
  </w:style>
  <w:style w:type="paragraph" w:styleId="22">
    <w:name w:val="toc 9"/>
    <w:basedOn w:val="0"/>
    <w:autoRedefine/>
    <w:next w:val="0"/>
    <w:pPr>
      <w:ind w:left="3360"/>
    </w:pPr>
  </w:style>
  <w:style w:type="paragraph" w:styleId="23">
    <w:name w:val="Normal Indent"/>
    <w:basedOn w:val="0"/>
    <w:pPr>
      <w:ind w:firstLine="420"/>
    </w:pPr>
  </w:style>
  <w:style w:type="paragraph" w:styleId="24">
    <w:name w:val="footnote text"/>
    <w:basedOn w:val="0"/>
    <w:pPr>
      <w:snapToGrid w:val="0"/>
      <w:jc w:val="left"/>
    </w:pPr>
    <w:rPr>
      <w:sz w:val="18"/>
    </w:rPr>
  </w:style>
  <w:style w:type="paragraph" w:styleId="25">
    <w:name w:val="annotation text"/>
    <w:basedOn w:val="0"/>
    <w:pPr>
      <w:jc w:val="left"/>
    </w:pPr>
  </w:style>
  <w:style w:type="paragraph" w:styleId="2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8">
    <w:name w:val="index heading"/>
    <w:basedOn w:val="0"/>
    <w:rPr>
      <w:rFonts w:ascii="Arial" w:hAnsi="Arial"/>
      <w:b/>
    </w:rPr>
  </w:style>
  <w:style w:type="paragraph" w:styleId="29">
    <w:name w:val="caption"/>
    <w:basedOn w:val="0"/>
    <w:next w:val="0"/>
    <w:rPr>
      <w:rFonts w:ascii="Arial" w:eastAsia="黑体" w:hAnsi="Arial"/>
      <w:b/>
      <w:sz w:val="20"/>
    </w:rPr>
  </w:style>
  <w:style w:type="paragraph" w:styleId="30">
    <w:name w:val="table of figures"/>
    <w:basedOn w:val="0"/>
    <w:next w:val="0"/>
  </w:style>
  <w:style w:type="paragraph" w:styleId="31">
    <w:name w:val="envelope address"/>
    <w:basedOn w:val="0"/>
    <w:pPr>
      <w:snapToGrid w:val="0"/>
      <w:ind w:left="2880"/>
    </w:pPr>
    <w:rPr>
      <w:rFonts w:ascii="Arial" w:hAnsi="Arial"/>
      <w:sz w:val="24"/>
    </w:rPr>
  </w:style>
  <w:style w:type="paragraph" w:styleId="32">
    <w:name w:val="envelope return"/>
    <w:basedOn w:val="0"/>
    <w:pPr>
      <w:snapToGrid w:val="0"/>
    </w:pPr>
    <w:rPr>
      <w:rFonts w:ascii="Arial" w:hAnsi="Arial"/>
    </w:rPr>
  </w:style>
  <w:style w:type="character" w:styleId="33">
    <w:name w:val="footnote reference"/>
    <w:basedOn w:val="10"/>
    <w:rPr>
      <w:vertAlign w:val="superscript"/>
    </w:rPr>
  </w:style>
  <w:style w:type="character" w:styleId="34">
    <w:name w:val="annotation reference"/>
    <w:basedOn w:val="10"/>
    <w:rPr>
      <w:sz w:val="21"/>
    </w:rPr>
  </w:style>
  <w:style w:type="character" w:styleId="35">
    <w:name w:val="line number"/>
    <w:basedOn w:val="10"/>
  </w:style>
  <w:style w:type="character" w:styleId="36">
    <w:name w:val="page number"/>
    <w:basedOn w:val="10"/>
  </w:style>
  <w:style w:type="character" w:styleId="37">
    <w:name w:val="endnote reference"/>
    <w:basedOn w:val="10"/>
    <w:rPr>
      <w:vertAlign w:val="superscript"/>
    </w:rPr>
  </w:style>
  <w:style w:type="paragraph" w:styleId="38">
    <w:name w:val="Salutation"/>
    <w:next w:val="0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9">
    <w:name w:val="样式 509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0">
    <w:name w:val="样式 510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1">
    <w:name w:val="样式 511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2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3">
    <w:name w:val="样式 51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4">
    <w:name w:val="样式 3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5">
    <w:name w:val="样式 33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6">
    <w:name w:val="样式 231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7">
    <w:name w:val="样式 8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48">
    <w:name w:val="样式 4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9">
    <w:name w:val="样式 5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0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1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2">
    <w:name w:val="样式 2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3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4">
    <w:name w:val="样式 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5">
    <w:name w:val="样式 2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6">
    <w:name w:val="样式 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7">
    <w:name w:val="样式 7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8">
    <w:name w:val="样式 2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59">
    <w:name w:val="样式 3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  <w:style w:type="paragraph" w:customStyle="1" w:styleId="60">
    <w:name w:val="样式 514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61">
    <w:name w:val="样式 6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"/>
    <sectPr/>
  </customProps>
</customData>
</file>

<file path=customXml/itemProps1.xml><?xml version="1.0" encoding="utf-8"?>
<ds:datastoreItem xmlns:ds="http://schemas.openxmlformats.org/officeDocument/2006/customXml" ds:itemID="{B9CD8063-3157-4B26-8E64-A850A36BCB1B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5</TotalTime>
  <Application>Yozo_Office27021597764231179</Application>
  <Pages>3</Pages>
  <Words>0</Words>
  <Characters>1197</Characters>
  <Lines>0</Lines>
  <Paragraphs>11</Paragraphs>
  <CharactersWithSpaces>1597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吴迪</cp:lastModifiedBy>
  <cp:revision>1</cp:revision>
  <dcterms:created xsi:type="dcterms:W3CDTF">2026-01-19T01:37:49Z</dcterms:created>
  <dcterms:modified xsi:type="dcterms:W3CDTF">2026-03-27T08:12:00Z</dcterms:modified>
</cp:coreProperties>
</file>