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4C7" w:rsidRDefault="005474C7" w:rsidP="005474C7">
      <w:pPr>
        <w:pStyle w:val="10"/>
        <w:autoSpaceDE w:val="0"/>
        <w:autoSpaceDN w:val="0"/>
        <w:adjustRightInd w:val="0"/>
        <w:spacing w:line="560" w:lineRule="exact"/>
        <w:rPr>
          <w:rFonts w:ascii="方正黑体_GBK" w:eastAsia="方正黑体_GBK"/>
          <w:sz w:val="32"/>
          <w:szCs w:val="32"/>
        </w:rPr>
      </w:pPr>
      <w:r>
        <w:rPr>
          <w:rFonts w:ascii="方正黑体_GBK" w:eastAsia="方正黑体_GBK" w:hint="eastAsia"/>
          <w:sz w:val="32"/>
          <w:szCs w:val="32"/>
        </w:rPr>
        <w:t>附件2</w:t>
      </w:r>
    </w:p>
    <w:p w:rsidR="005474C7" w:rsidRDefault="005474C7" w:rsidP="005474C7">
      <w:pPr>
        <w:pStyle w:val="1"/>
        <w:widowControl w:val="0"/>
        <w:autoSpaceDN w:val="0"/>
        <w:spacing w:line="560" w:lineRule="exact"/>
        <w:rPr>
          <w:rFonts w:ascii="方正黑体_GBK" w:eastAsia="方正黑体_GBK" w:hint="eastAsia"/>
          <w:sz w:val="32"/>
          <w:szCs w:val="32"/>
          <w:lang w:eastAsia="zh-CN"/>
        </w:rPr>
      </w:pPr>
    </w:p>
    <w:p w:rsidR="005474C7" w:rsidRDefault="005474C7" w:rsidP="005474C7">
      <w:pPr>
        <w:pStyle w:val="2710"/>
        <w:autoSpaceDE w:val="0"/>
        <w:autoSpaceDN w:val="0"/>
        <w:adjustRightInd w:val="0"/>
        <w:spacing w:line="560" w:lineRule="exact"/>
        <w:jc w:val="center"/>
        <w:rPr>
          <w:rFonts w:ascii="方正小标宋_GBK" w:eastAsia="方正小标宋_GBK" w:hint="eastAsia"/>
          <w:sz w:val="44"/>
          <w:szCs w:val="44"/>
        </w:rPr>
      </w:pPr>
      <w:r>
        <w:rPr>
          <w:rFonts w:ascii="方正小标宋_GBK" w:eastAsia="方正小标宋_GBK" w:hint="eastAsia"/>
          <w:sz w:val="44"/>
          <w:szCs w:val="44"/>
        </w:rPr>
        <w:t>石家庄海关口岸突发公共卫生事件</w:t>
      </w:r>
    </w:p>
    <w:p w:rsidR="005474C7" w:rsidRDefault="005474C7" w:rsidP="005474C7">
      <w:pPr>
        <w:pStyle w:val="2710"/>
        <w:autoSpaceDE w:val="0"/>
        <w:autoSpaceDN w:val="0"/>
        <w:adjustRightInd w:val="0"/>
        <w:spacing w:line="560" w:lineRule="exact"/>
        <w:jc w:val="center"/>
        <w:rPr>
          <w:rFonts w:ascii="方正小标宋_GBK" w:eastAsia="方正小标宋_GBK" w:hint="eastAsia"/>
          <w:sz w:val="44"/>
          <w:szCs w:val="44"/>
        </w:rPr>
      </w:pPr>
      <w:r>
        <w:rPr>
          <w:rFonts w:ascii="方正小标宋_GBK" w:eastAsia="方正小标宋_GBK" w:hint="eastAsia"/>
          <w:sz w:val="44"/>
          <w:szCs w:val="44"/>
        </w:rPr>
        <w:t>预警分级</w:t>
      </w:r>
    </w:p>
    <w:p w:rsidR="005474C7" w:rsidRDefault="005474C7" w:rsidP="005474C7">
      <w:pPr>
        <w:pStyle w:val="110"/>
        <w:keepNext w:val="0"/>
        <w:keepLines w:val="0"/>
        <w:autoSpaceDE w:val="0"/>
        <w:autoSpaceDN w:val="0"/>
        <w:adjustRightInd w:val="0"/>
        <w:spacing w:before="0" w:after="0" w:line="560" w:lineRule="exact"/>
        <w:ind w:firstLine="499"/>
        <w:rPr>
          <w:rFonts w:cs="Arial" w:hint="eastAsia"/>
          <w:szCs w:val="21"/>
        </w:rPr>
      </w:pP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口岸突发公共卫生事件包括重大传染病疫情、重大食源性疾病、群体性不明原因疾病，以及其他严重影响公众健康和生命安全的突发公共卫生事件</w:t>
      </w:r>
      <w:r>
        <w:rPr>
          <w:rFonts w:eastAsia="方正仿宋_GBK"/>
          <w:bCs/>
          <w:color w:val="000000"/>
          <w:kern w:val="0"/>
          <w:szCs w:val="32"/>
        </w:rPr>
        <w:t>4</w:t>
      </w:r>
      <w:r>
        <w:rPr>
          <w:rFonts w:eastAsia="方正仿宋_GBK" w:hint="eastAsia"/>
          <w:bCs/>
          <w:color w:val="000000"/>
          <w:kern w:val="0"/>
          <w:szCs w:val="32"/>
        </w:rPr>
        <w:t>类。根据其性质、危害程度、涉及范围等因素，将口岸突发公共卫生事件分为</w:t>
      </w:r>
      <w:r>
        <w:rPr>
          <w:rFonts w:ascii="方正仿宋_GBK" w:eastAsia="方正仿宋_GBK" w:hint="eastAsia"/>
          <w:bCs/>
          <w:color w:val="000000"/>
          <w:kern w:val="0"/>
          <w:szCs w:val="32"/>
        </w:rPr>
        <w:t>Ⅰ</w:t>
      </w:r>
      <w:r>
        <w:rPr>
          <w:rFonts w:eastAsia="方正仿宋_GBK" w:hint="eastAsia"/>
          <w:bCs/>
          <w:color w:val="000000"/>
          <w:kern w:val="0"/>
          <w:szCs w:val="32"/>
        </w:rPr>
        <w:t>级（特别重大）、</w:t>
      </w:r>
      <w:r>
        <w:rPr>
          <w:rFonts w:ascii="方正仿宋_GBK" w:eastAsia="方正仿宋_GBK" w:hint="eastAsia"/>
          <w:bCs/>
          <w:color w:val="000000"/>
          <w:kern w:val="0"/>
          <w:szCs w:val="32"/>
        </w:rPr>
        <w:t>Ⅱ</w:t>
      </w:r>
      <w:r>
        <w:rPr>
          <w:rFonts w:eastAsia="方正仿宋_GBK" w:hint="eastAsia"/>
          <w:bCs/>
          <w:color w:val="000000"/>
          <w:kern w:val="0"/>
          <w:szCs w:val="32"/>
        </w:rPr>
        <w:t>级（重大）、</w:t>
      </w:r>
      <w:r>
        <w:rPr>
          <w:rFonts w:ascii="方正仿宋_GBK" w:eastAsia="方正仿宋_GBK" w:hint="eastAsia"/>
          <w:bCs/>
          <w:color w:val="000000"/>
          <w:kern w:val="0"/>
          <w:szCs w:val="32"/>
        </w:rPr>
        <w:t>Ⅲ</w:t>
      </w:r>
      <w:r>
        <w:rPr>
          <w:rFonts w:eastAsia="方正仿宋_GBK" w:hint="eastAsia"/>
          <w:bCs/>
          <w:color w:val="000000"/>
          <w:kern w:val="0"/>
          <w:szCs w:val="32"/>
        </w:rPr>
        <w:t>级（较大）、</w:t>
      </w:r>
      <w:r>
        <w:rPr>
          <w:rFonts w:ascii="方正仿宋_GBK" w:eastAsia="方正仿宋_GBK" w:hint="eastAsia"/>
          <w:bCs/>
          <w:color w:val="000000"/>
          <w:kern w:val="0"/>
          <w:szCs w:val="32"/>
        </w:rPr>
        <w:t>Ⅳ</w:t>
      </w:r>
      <w:r>
        <w:rPr>
          <w:rFonts w:eastAsia="方正仿宋_GBK" w:hint="eastAsia"/>
          <w:bCs/>
          <w:color w:val="000000"/>
          <w:kern w:val="0"/>
          <w:szCs w:val="32"/>
        </w:rPr>
        <w:t>级（一般）</w:t>
      </w:r>
      <w:r>
        <w:rPr>
          <w:rFonts w:eastAsia="方正仿宋_GBK"/>
          <w:bCs/>
          <w:color w:val="000000"/>
          <w:kern w:val="0"/>
          <w:szCs w:val="32"/>
        </w:rPr>
        <w:t>4</w:t>
      </w:r>
      <w:r>
        <w:rPr>
          <w:rFonts w:eastAsia="方正仿宋_GBK" w:hint="eastAsia"/>
          <w:bCs/>
          <w:color w:val="000000"/>
          <w:kern w:val="0"/>
          <w:szCs w:val="32"/>
        </w:rPr>
        <w:t>个级别。</w:t>
      </w:r>
    </w:p>
    <w:p w:rsidR="005474C7" w:rsidRDefault="005474C7" w:rsidP="005474C7">
      <w:pPr>
        <w:pStyle w:val="9"/>
        <w:autoSpaceDN w:val="0"/>
        <w:spacing w:line="560" w:lineRule="exact"/>
        <w:ind w:firstLine="640"/>
        <w:rPr>
          <w:rFonts w:eastAsia="方正仿宋_GBK"/>
          <w:bCs/>
          <w:color w:val="000000"/>
          <w:kern w:val="0"/>
          <w:szCs w:val="32"/>
        </w:rPr>
      </w:pPr>
      <w:bookmarkStart w:id="0" w:name="_Toc99712718"/>
      <w:bookmarkStart w:id="1" w:name="_Toc29516137"/>
      <w:bookmarkStart w:id="2" w:name="_Toc535325324"/>
      <w:bookmarkStart w:id="3" w:name="_Toc43648589"/>
      <w:bookmarkStart w:id="4" w:name="_Toc99712762"/>
      <w:bookmarkStart w:id="5" w:name="_Toc99712743"/>
      <w:r>
        <w:rPr>
          <w:rFonts w:eastAsia="方正仿宋_GBK"/>
          <w:bCs/>
          <w:color w:val="000000"/>
          <w:kern w:val="0"/>
          <w:szCs w:val="32"/>
        </w:rPr>
        <w:t>1.</w:t>
      </w:r>
      <w:r>
        <w:rPr>
          <w:rFonts w:ascii="方正仿宋_GBK" w:eastAsia="方正仿宋_GBK" w:hint="eastAsia"/>
          <w:bCs/>
          <w:color w:val="000000"/>
          <w:kern w:val="0"/>
          <w:szCs w:val="32"/>
        </w:rPr>
        <w:t>Ⅰ</w:t>
      </w:r>
      <w:r>
        <w:rPr>
          <w:rFonts w:eastAsia="方正仿宋_GBK" w:hint="eastAsia"/>
          <w:bCs/>
          <w:color w:val="000000"/>
          <w:kern w:val="0"/>
          <w:szCs w:val="32"/>
        </w:rPr>
        <w:t>级（特别重大）突发公共卫生事件</w:t>
      </w:r>
      <w:bookmarkEnd w:id="0"/>
      <w:bookmarkEnd w:id="1"/>
      <w:bookmarkEnd w:id="2"/>
      <w:bookmarkEnd w:id="3"/>
      <w:bookmarkEnd w:id="4"/>
      <w:bookmarkEnd w:id="5"/>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1</w:t>
      </w:r>
      <w:r>
        <w:rPr>
          <w:rFonts w:eastAsia="方正仿宋_GBK" w:hint="eastAsia"/>
          <w:bCs/>
          <w:color w:val="000000"/>
          <w:kern w:val="0"/>
          <w:szCs w:val="32"/>
        </w:rPr>
        <w:t>）国务院宣布为特别重大突发公共卫生事件的；</w:t>
      </w:r>
      <w:r>
        <w:rPr>
          <w:rFonts w:eastAsia="方正仿宋_GBK"/>
          <w:bCs/>
          <w:color w:val="000000"/>
          <w:kern w:val="0"/>
          <w:szCs w:val="32"/>
        </w:rPr>
        <w:t xml:space="preserve"> </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2</w:t>
      </w:r>
      <w:r>
        <w:rPr>
          <w:rFonts w:eastAsia="方正仿宋_GBK" w:hint="eastAsia"/>
          <w:bCs/>
          <w:color w:val="000000"/>
          <w:kern w:val="0"/>
          <w:szCs w:val="32"/>
        </w:rPr>
        <w:t>）世界卫生组织宣布传染病疫情构成国际关注的突发公共卫生事件，且跨省份的多口岸出现输入性病例，并有扩散趋势；</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3</w:t>
      </w:r>
      <w:r>
        <w:rPr>
          <w:rFonts w:eastAsia="方正仿宋_GBK" w:hint="eastAsia"/>
          <w:bCs/>
          <w:color w:val="000000"/>
          <w:kern w:val="0"/>
          <w:szCs w:val="32"/>
        </w:rPr>
        <w:t>）周边以及与我国通航的国家和地区发生检疫传染病等重大传染病疫情流行，并出现输入性病例扩散，严重危及我国公共卫生安全的事件；</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4</w:t>
      </w:r>
      <w:r>
        <w:rPr>
          <w:rFonts w:eastAsia="方正仿宋_GBK" w:hint="eastAsia"/>
          <w:bCs/>
          <w:color w:val="000000"/>
          <w:kern w:val="0"/>
          <w:szCs w:val="32"/>
        </w:rPr>
        <w:t>）国内尚未发现的传染病发生或传入，并有扩散趋势，或发现我国已消灭的传染病重新流行；</w:t>
      </w:r>
      <w:r>
        <w:rPr>
          <w:rFonts w:eastAsia="方正仿宋_GBK"/>
          <w:bCs/>
          <w:color w:val="000000"/>
          <w:kern w:val="0"/>
          <w:szCs w:val="32"/>
        </w:rPr>
        <w:t xml:space="preserve"> </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5</w:t>
      </w:r>
      <w:r>
        <w:rPr>
          <w:rFonts w:eastAsia="方正仿宋_GBK" w:hint="eastAsia"/>
          <w:bCs/>
          <w:color w:val="000000"/>
          <w:kern w:val="0"/>
          <w:szCs w:val="32"/>
        </w:rPr>
        <w:t>）跨省份的多个口岸出入境人员中发现群体性不明原因疾病病例，并有扩散趋势；</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6</w:t>
      </w:r>
      <w:r>
        <w:rPr>
          <w:rFonts w:eastAsia="方正仿宋_GBK" w:hint="eastAsia"/>
          <w:bCs/>
          <w:color w:val="000000"/>
          <w:kern w:val="0"/>
          <w:szCs w:val="32"/>
        </w:rPr>
        <w:t>）对</w:t>
      </w:r>
      <w:r>
        <w:rPr>
          <w:rFonts w:eastAsia="方正仿宋_GBK"/>
          <w:bCs/>
          <w:color w:val="000000"/>
          <w:kern w:val="0"/>
          <w:szCs w:val="32"/>
        </w:rPr>
        <w:t>2</w:t>
      </w:r>
      <w:r>
        <w:rPr>
          <w:rFonts w:eastAsia="方正仿宋_GBK" w:hint="eastAsia"/>
          <w:bCs/>
          <w:color w:val="000000"/>
          <w:kern w:val="0"/>
          <w:szCs w:val="32"/>
        </w:rPr>
        <w:t>个以上省造成严重威胁，并有进一步扩散趋势</w:t>
      </w:r>
      <w:r>
        <w:rPr>
          <w:rFonts w:eastAsia="方正仿宋_GBK" w:hint="eastAsia"/>
          <w:bCs/>
          <w:color w:val="000000"/>
          <w:kern w:val="0"/>
          <w:szCs w:val="32"/>
        </w:rPr>
        <w:lastRenderedPageBreak/>
        <w:t>的特别重大食品安全事故；</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7</w:t>
      </w:r>
      <w:r>
        <w:rPr>
          <w:rFonts w:eastAsia="方正仿宋_GBK" w:hint="eastAsia"/>
          <w:bCs/>
          <w:color w:val="000000"/>
          <w:kern w:val="0"/>
          <w:szCs w:val="32"/>
        </w:rPr>
        <w:t>）发生烈性病菌株、毒株、致病因子等丢失事件；</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8</w:t>
      </w:r>
      <w:r>
        <w:rPr>
          <w:rFonts w:eastAsia="方正仿宋_GBK" w:hint="eastAsia"/>
          <w:bCs/>
          <w:color w:val="000000"/>
          <w:kern w:val="0"/>
          <w:szCs w:val="32"/>
        </w:rPr>
        <w:t>）海关总署风险评估认定的其他特别重大口岸突发公共卫生事件。</w:t>
      </w:r>
    </w:p>
    <w:p w:rsidR="005474C7" w:rsidRDefault="005474C7" w:rsidP="005474C7">
      <w:pPr>
        <w:pStyle w:val="9"/>
        <w:autoSpaceDN w:val="0"/>
        <w:spacing w:line="560" w:lineRule="exact"/>
        <w:ind w:firstLine="640"/>
        <w:rPr>
          <w:rFonts w:eastAsia="方正仿宋_GBK"/>
          <w:bCs/>
          <w:color w:val="000000"/>
          <w:kern w:val="0"/>
          <w:szCs w:val="32"/>
        </w:rPr>
      </w:pPr>
      <w:bookmarkStart w:id="6" w:name="_Toc43648590"/>
      <w:bookmarkStart w:id="7" w:name="_Toc535325325"/>
      <w:bookmarkStart w:id="8" w:name="_Toc99712763"/>
      <w:bookmarkStart w:id="9" w:name="_Toc99712744"/>
      <w:bookmarkStart w:id="10" w:name="_Toc99712719"/>
      <w:bookmarkStart w:id="11" w:name="_Toc29516138"/>
      <w:r>
        <w:rPr>
          <w:rFonts w:eastAsia="方正仿宋_GBK"/>
          <w:bCs/>
          <w:color w:val="000000"/>
          <w:kern w:val="0"/>
          <w:szCs w:val="32"/>
        </w:rPr>
        <w:t xml:space="preserve">2.  </w:t>
      </w:r>
      <w:r>
        <w:rPr>
          <w:rFonts w:ascii="方正仿宋_GBK" w:eastAsia="方正仿宋_GBK" w:hint="eastAsia"/>
          <w:bCs/>
          <w:color w:val="000000"/>
          <w:kern w:val="0"/>
          <w:szCs w:val="32"/>
        </w:rPr>
        <w:t>Ⅱ</w:t>
      </w:r>
      <w:r>
        <w:rPr>
          <w:rFonts w:eastAsia="方正仿宋_GBK" w:hint="eastAsia"/>
          <w:bCs/>
          <w:color w:val="000000"/>
          <w:kern w:val="0"/>
          <w:szCs w:val="32"/>
        </w:rPr>
        <w:t>级（重大）突发公共卫生事件</w:t>
      </w:r>
      <w:bookmarkEnd w:id="6"/>
      <w:bookmarkEnd w:id="7"/>
      <w:bookmarkEnd w:id="8"/>
      <w:bookmarkEnd w:id="9"/>
      <w:bookmarkEnd w:id="10"/>
      <w:bookmarkEnd w:id="11"/>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1</w:t>
      </w:r>
      <w:r>
        <w:rPr>
          <w:rFonts w:eastAsia="方正仿宋_GBK" w:hint="eastAsia"/>
          <w:bCs/>
          <w:color w:val="000000"/>
          <w:kern w:val="0"/>
          <w:szCs w:val="32"/>
        </w:rPr>
        <w:t>）世界卫生组织宣布传染病疫情构成国际关注的突发公共卫生事件，且跨省份的多口岸出现输入性病例；</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2</w:t>
      </w:r>
      <w:r>
        <w:rPr>
          <w:rFonts w:eastAsia="方正仿宋_GBK" w:hint="eastAsia"/>
          <w:bCs/>
          <w:color w:val="000000"/>
          <w:kern w:val="0"/>
          <w:szCs w:val="32"/>
        </w:rPr>
        <w:t>）周边以及与我国通航的国家和地区发生检疫传染病等重大传染病疫情流行，且跨省份的多口岸出现输入性病例；</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3</w:t>
      </w:r>
      <w:r>
        <w:rPr>
          <w:rFonts w:eastAsia="方正仿宋_GBK" w:hint="eastAsia"/>
          <w:bCs/>
          <w:color w:val="000000"/>
          <w:kern w:val="0"/>
          <w:szCs w:val="32"/>
        </w:rPr>
        <w:t>）跨省份的多口岸输入国内尚未发现的或我国已消灭的传染病；</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4</w:t>
      </w:r>
      <w:r>
        <w:rPr>
          <w:rFonts w:eastAsia="方正仿宋_GBK" w:hint="eastAsia"/>
          <w:bCs/>
          <w:color w:val="000000"/>
          <w:kern w:val="0"/>
          <w:szCs w:val="32"/>
        </w:rPr>
        <w:t>）发生群体性不明原因疾病，扩散至关区以外的地区；</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5</w:t>
      </w:r>
      <w:r>
        <w:rPr>
          <w:rFonts w:eastAsia="方正仿宋_GBK" w:hint="eastAsia"/>
          <w:bCs/>
          <w:color w:val="000000"/>
          <w:kern w:val="0"/>
          <w:szCs w:val="32"/>
        </w:rPr>
        <w:t>）一次食物中毒波及人数超过</w:t>
      </w:r>
      <w:r>
        <w:rPr>
          <w:rFonts w:eastAsia="方正仿宋_GBK"/>
          <w:bCs/>
          <w:color w:val="000000"/>
          <w:kern w:val="0"/>
          <w:szCs w:val="32"/>
        </w:rPr>
        <w:t>100</w:t>
      </w:r>
      <w:r>
        <w:rPr>
          <w:rFonts w:eastAsia="方正仿宋_GBK" w:hint="eastAsia"/>
          <w:bCs/>
          <w:color w:val="000000"/>
          <w:kern w:val="0"/>
          <w:szCs w:val="32"/>
        </w:rPr>
        <w:t>人并出现死亡病例，或出现</w:t>
      </w:r>
      <w:r>
        <w:rPr>
          <w:rFonts w:eastAsia="方正仿宋_GBK"/>
          <w:bCs/>
          <w:color w:val="000000"/>
          <w:kern w:val="0"/>
          <w:szCs w:val="32"/>
        </w:rPr>
        <w:t>10</w:t>
      </w:r>
      <w:r>
        <w:rPr>
          <w:rFonts w:eastAsia="方正仿宋_GBK" w:hint="eastAsia"/>
          <w:bCs/>
          <w:color w:val="000000"/>
          <w:kern w:val="0"/>
          <w:szCs w:val="32"/>
        </w:rPr>
        <w:t>例以上死亡病例；</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6</w:t>
      </w:r>
      <w:r>
        <w:rPr>
          <w:rFonts w:eastAsia="方正仿宋_GBK" w:hint="eastAsia"/>
          <w:bCs/>
          <w:color w:val="000000"/>
          <w:kern w:val="0"/>
          <w:szCs w:val="32"/>
        </w:rPr>
        <w:t>）预防接种出现人员死亡事件；</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7</w:t>
      </w:r>
      <w:r>
        <w:rPr>
          <w:rFonts w:eastAsia="方正仿宋_GBK" w:hint="eastAsia"/>
          <w:bCs/>
          <w:color w:val="000000"/>
          <w:kern w:val="0"/>
          <w:szCs w:val="32"/>
        </w:rPr>
        <w:t>）境内外隐匿运输、邮寄烈性生物病原体、生物毒素造成境内人员感染或死亡；</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8</w:t>
      </w:r>
      <w:r>
        <w:rPr>
          <w:rFonts w:eastAsia="方正仿宋_GBK" w:hint="eastAsia"/>
          <w:bCs/>
          <w:color w:val="000000"/>
          <w:kern w:val="0"/>
          <w:szCs w:val="32"/>
        </w:rPr>
        <w:t>）海关总署风险评估认定的其他重大口岸突发公共卫生事件。</w:t>
      </w:r>
    </w:p>
    <w:p w:rsidR="005474C7" w:rsidRDefault="005474C7" w:rsidP="005474C7">
      <w:pPr>
        <w:pStyle w:val="9"/>
        <w:autoSpaceDN w:val="0"/>
        <w:spacing w:line="560" w:lineRule="exact"/>
        <w:ind w:firstLine="640"/>
        <w:rPr>
          <w:rFonts w:eastAsia="方正仿宋_GBK"/>
          <w:bCs/>
          <w:color w:val="000000"/>
          <w:kern w:val="0"/>
          <w:szCs w:val="32"/>
        </w:rPr>
      </w:pPr>
      <w:bookmarkStart w:id="12" w:name="_Toc535325326"/>
      <w:bookmarkStart w:id="13" w:name="_Toc43648591"/>
      <w:bookmarkStart w:id="14" w:name="_Toc99712764"/>
      <w:bookmarkStart w:id="15" w:name="_Toc99712745"/>
      <w:bookmarkStart w:id="16" w:name="_Toc99712720"/>
      <w:bookmarkStart w:id="17" w:name="_Toc29516139"/>
      <w:r>
        <w:rPr>
          <w:rFonts w:eastAsia="方正仿宋_GBK"/>
          <w:bCs/>
          <w:color w:val="000000"/>
          <w:kern w:val="0"/>
          <w:szCs w:val="32"/>
        </w:rPr>
        <w:t xml:space="preserve">3. </w:t>
      </w:r>
      <w:r>
        <w:rPr>
          <w:rFonts w:ascii="方正仿宋_GBK" w:eastAsia="方正仿宋_GBK" w:hint="eastAsia"/>
          <w:bCs/>
          <w:color w:val="000000"/>
          <w:kern w:val="0"/>
          <w:szCs w:val="32"/>
        </w:rPr>
        <w:t>Ⅲ</w:t>
      </w:r>
      <w:r>
        <w:rPr>
          <w:rFonts w:eastAsia="方正仿宋_GBK" w:hint="eastAsia"/>
          <w:bCs/>
          <w:color w:val="000000"/>
          <w:kern w:val="0"/>
          <w:szCs w:val="32"/>
        </w:rPr>
        <w:t>级（较大）突发公共卫生事件</w:t>
      </w:r>
      <w:bookmarkEnd w:id="12"/>
      <w:bookmarkEnd w:id="13"/>
      <w:bookmarkEnd w:id="14"/>
      <w:bookmarkEnd w:id="15"/>
      <w:bookmarkEnd w:id="16"/>
      <w:bookmarkEnd w:id="17"/>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1</w:t>
      </w:r>
      <w:r>
        <w:rPr>
          <w:rFonts w:eastAsia="方正仿宋_GBK" w:hint="eastAsia"/>
          <w:bCs/>
          <w:color w:val="000000"/>
          <w:kern w:val="0"/>
          <w:szCs w:val="32"/>
        </w:rPr>
        <w:t>）世界卫生组织宣布传染病疫情构成国际关注的突发公共卫生事件，并出现输入性病例；</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lastRenderedPageBreak/>
        <w:t>（</w:t>
      </w:r>
      <w:r>
        <w:rPr>
          <w:rFonts w:eastAsia="方正仿宋_GBK"/>
          <w:bCs/>
          <w:color w:val="000000"/>
          <w:kern w:val="0"/>
          <w:szCs w:val="32"/>
        </w:rPr>
        <w:t>2</w:t>
      </w:r>
      <w:r>
        <w:rPr>
          <w:rFonts w:eastAsia="方正仿宋_GBK" w:hint="eastAsia"/>
          <w:bCs/>
          <w:color w:val="000000"/>
          <w:kern w:val="0"/>
          <w:szCs w:val="32"/>
        </w:rPr>
        <w:t>）周边以及与我国通航的国家和地区发生重大传染病疫情流行，并出现输入性病例；</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3</w:t>
      </w:r>
      <w:r>
        <w:rPr>
          <w:rFonts w:eastAsia="方正仿宋_GBK" w:hint="eastAsia"/>
          <w:bCs/>
          <w:color w:val="000000"/>
          <w:kern w:val="0"/>
          <w:szCs w:val="32"/>
        </w:rPr>
        <w:t>）国内尚未发现的或我国已消灭的传染病发生或传入；</w:t>
      </w:r>
      <w:r>
        <w:rPr>
          <w:rFonts w:eastAsia="方正仿宋_GBK"/>
          <w:bCs/>
          <w:color w:val="000000"/>
          <w:kern w:val="0"/>
          <w:szCs w:val="32"/>
        </w:rPr>
        <w:t xml:space="preserve"> </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4</w:t>
      </w:r>
      <w:r>
        <w:rPr>
          <w:rFonts w:eastAsia="方正仿宋_GBK" w:hint="eastAsia"/>
          <w:bCs/>
          <w:color w:val="000000"/>
          <w:kern w:val="0"/>
          <w:szCs w:val="32"/>
        </w:rPr>
        <w:t>）发生群体性不明原因疾病，尚未扩散至关区以外的地区；</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5</w:t>
      </w:r>
      <w:r>
        <w:rPr>
          <w:rFonts w:eastAsia="方正仿宋_GBK" w:hint="eastAsia"/>
          <w:bCs/>
          <w:color w:val="000000"/>
          <w:kern w:val="0"/>
          <w:szCs w:val="32"/>
        </w:rPr>
        <w:t>）一次食物中毒波及人数</w:t>
      </w:r>
      <w:r>
        <w:rPr>
          <w:rFonts w:eastAsia="方正仿宋_GBK"/>
          <w:bCs/>
          <w:color w:val="000000"/>
          <w:kern w:val="0"/>
          <w:szCs w:val="32"/>
        </w:rPr>
        <w:t>30-99</w:t>
      </w:r>
      <w:r>
        <w:rPr>
          <w:rFonts w:eastAsia="方正仿宋_GBK" w:hint="eastAsia"/>
          <w:bCs/>
          <w:color w:val="000000"/>
          <w:kern w:val="0"/>
          <w:szCs w:val="32"/>
        </w:rPr>
        <w:t>人或出现死亡病例；</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6</w:t>
      </w:r>
      <w:r>
        <w:rPr>
          <w:rFonts w:eastAsia="方正仿宋_GBK" w:hint="eastAsia"/>
          <w:bCs/>
          <w:color w:val="000000"/>
          <w:kern w:val="0"/>
          <w:szCs w:val="32"/>
        </w:rPr>
        <w:t>）直属海关风险评估认定的其他较大口岸突发公共卫生事件。</w:t>
      </w:r>
    </w:p>
    <w:p w:rsidR="005474C7" w:rsidRDefault="005474C7" w:rsidP="005474C7">
      <w:pPr>
        <w:pStyle w:val="9"/>
        <w:autoSpaceDN w:val="0"/>
        <w:spacing w:line="560" w:lineRule="exact"/>
        <w:ind w:firstLine="640"/>
        <w:rPr>
          <w:rFonts w:eastAsia="方正仿宋_GBK"/>
          <w:bCs/>
          <w:color w:val="000000"/>
          <w:kern w:val="0"/>
          <w:szCs w:val="32"/>
        </w:rPr>
      </w:pPr>
      <w:bookmarkStart w:id="18" w:name="_Toc99712721"/>
      <w:bookmarkStart w:id="19" w:name="_Toc535325327"/>
      <w:bookmarkStart w:id="20" w:name="_Toc29516140"/>
      <w:bookmarkStart w:id="21" w:name="_Toc43648592"/>
      <w:bookmarkStart w:id="22" w:name="_Toc99712765"/>
      <w:bookmarkStart w:id="23" w:name="_Toc99712746"/>
      <w:r>
        <w:rPr>
          <w:rFonts w:eastAsia="方正仿宋_GBK"/>
          <w:bCs/>
          <w:color w:val="000000"/>
          <w:kern w:val="0"/>
          <w:szCs w:val="32"/>
        </w:rPr>
        <w:t xml:space="preserve">4. </w:t>
      </w:r>
      <w:r>
        <w:rPr>
          <w:rFonts w:ascii="方正仿宋_GBK" w:eastAsia="方正仿宋_GBK" w:hint="eastAsia"/>
          <w:bCs/>
          <w:color w:val="000000"/>
          <w:kern w:val="0"/>
          <w:szCs w:val="32"/>
        </w:rPr>
        <w:t>Ⅳ</w:t>
      </w:r>
      <w:r>
        <w:rPr>
          <w:rFonts w:eastAsia="方正仿宋_GBK" w:hint="eastAsia"/>
          <w:bCs/>
          <w:color w:val="000000"/>
          <w:kern w:val="0"/>
          <w:szCs w:val="32"/>
        </w:rPr>
        <w:t>级（一般）突发公共卫生事件</w:t>
      </w:r>
      <w:bookmarkEnd w:id="18"/>
      <w:bookmarkEnd w:id="19"/>
      <w:bookmarkEnd w:id="20"/>
      <w:bookmarkEnd w:id="21"/>
      <w:bookmarkEnd w:id="22"/>
      <w:bookmarkEnd w:id="23"/>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1</w:t>
      </w:r>
      <w:r>
        <w:rPr>
          <w:rFonts w:eastAsia="方正仿宋_GBK" w:hint="eastAsia"/>
          <w:bCs/>
          <w:color w:val="000000"/>
          <w:kern w:val="0"/>
          <w:szCs w:val="32"/>
        </w:rPr>
        <w:t>）世界卫生组织宣布传染病疫情构成国际关注的突发公共卫生事件，但尚未出现输入性病例，经风险评估存在输入风险，可能危及口岸公共卫生安全的；</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2</w:t>
      </w:r>
      <w:r>
        <w:rPr>
          <w:rFonts w:eastAsia="方正仿宋_GBK" w:hint="eastAsia"/>
          <w:bCs/>
          <w:color w:val="000000"/>
          <w:kern w:val="0"/>
          <w:szCs w:val="32"/>
        </w:rPr>
        <w:t>）周边以及与我国通航的国家和地区发生重大传染病流行，尚未发现输入性病例，经风险评估存在输入风险，可能危及口岸公共卫生安全的；</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3</w:t>
      </w:r>
      <w:r>
        <w:rPr>
          <w:rFonts w:eastAsia="方正仿宋_GBK" w:hint="eastAsia"/>
          <w:bCs/>
          <w:color w:val="000000"/>
          <w:kern w:val="0"/>
          <w:szCs w:val="32"/>
        </w:rPr>
        <w:t>）发现检疫传染病、国内已经消灭的或国内尚未发现的传染病疑似病例，经风险评估，认为可能存在后续输入风险，可能危及国家公共卫生安全的；</w:t>
      </w:r>
      <w:r>
        <w:rPr>
          <w:rFonts w:eastAsia="方正仿宋_GBK"/>
          <w:bCs/>
          <w:color w:val="000000"/>
          <w:kern w:val="0"/>
          <w:szCs w:val="32"/>
        </w:rPr>
        <w:t xml:space="preserve"> </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4</w:t>
      </w:r>
      <w:r>
        <w:rPr>
          <w:rFonts w:eastAsia="方正仿宋_GBK" w:hint="eastAsia"/>
          <w:bCs/>
          <w:color w:val="000000"/>
          <w:kern w:val="0"/>
          <w:szCs w:val="32"/>
        </w:rPr>
        <w:t>）在出入境交通工具上发现食源性疾病或群体性不明原因疾病，波及人数</w:t>
      </w:r>
      <w:r>
        <w:rPr>
          <w:rFonts w:eastAsia="方正仿宋_GBK"/>
          <w:bCs/>
          <w:color w:val="000000"/>
          <w:kern w:val="0"/>
          <w:szCs w:val="32"/>
        </w:rPr>
        <w:t>10-29</w:t>
      </w:r>
      <w:r>
        <w:rPr>
          <w:rFonts w:eastAsia="方正仿宋_GBK" w:hint="eastAsia"/>
          <w:bCs/>
          <w:color w:val="000000"/>
          <w:kern w:val="0"/>
          <w:szCs w:val="32"/>
        </w:rPr>
        <w:t>人的；</w:t>
      </w:r>
      <w:r>
        <w:rPr>
          <w:rFonts w:eastAsia="方正仿宋_GBK"/>
          <w:bCs/>
          <w:color w:val="000000"/>
          <w:kern w:val="0"/>
          <w:szCs w:val="32"/>
        </w:rPr>
        <w:t xml:space="preserve"> </w:t>
      </w:r>
    </w:p>
    <w:p w:rsidR="005474C7" w:rsidRDefault="005474C7" w:rsidP="005474C7">
      <w:pPr>
        <w:pStyle w:val="9"/>
        <w:autoSpaceDN w:val="0"/>
        <w:spacing w:line="560" w:lineRule="exact"/>
        <w:ind w:firstLine="640"/>
        <w:rPr>
          <w:rFonts w:eastAsia="方正仿宋_GBK"/>
          <w:bCs/>
          <w:color w:val="000000"/>
          <w:kern w:val="0"/>
          <w:szCs w:val="32"/>
        </w:rPr>
      </w:pPr>
      <w:r>
        <w:rPr>
          <w:rFonts w:eastAsia="方正仿宋_GBK" w:hint="eastAsia"/>
          <w:bCs/>
          <w:color w:val="000000"/>
          <w:kern w:val="0"/>
          <w:szCs w:val="32"/>
        </w:rPr>
        <w:t>（</w:t>
      </w:r>
      <w:r>
        <w:rPr>
          <w:rFonts w:eastAsia="方正仿宋_GBK"/>
          <w:bCs/>
          <w:color w:val="000000"/>
          <w:kern w:val="0"/>
          <w:szCs w:val="32"/>
        </w:rPr>
        <w:t>5</w:t>
      </w:r>
      <w:r>
        <w:rPr>
          <w:rFonts w:eastAsia="方正仿宋_GBK" w:hint="eastAsia"/>
          <w:bCs/>
          <w:color w:val="000000"/>
          <w:kern w:val="0"/>
          <w:szCs w:val="32"/>
        </w:rPr>
        <w:t>）隶属海关风险评估认定的其他一般口岸突发公共卫生事件。</w:t>
      </w:r>
    </w:p>
    <w:p w:rsidR="00EC5572" w:rsidRPr="005474C7" w:rsidRDefault="00EC5572" w:rsidP="005474C7">
      <w:pPr>
        <w:pStyle w:val="9"/>
        <w:autoSpaceDN w:val="0"/>
        <w:spacing w:line="560" w:lineRule="exact"/>
        <w:ind w:firstLineChars="0" w:firstLine="0"/>
        <w:rPr>
          <w:rFonts w:eastAsia="宋体"/>
          <w:sz w:val="21"/>
        </w:rPr>
      </w:pPr>
    </w:p>
    <w:sectPr w:rsidR="00EC5572" w:rsidRPr="005474C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5572" w:rsidRDefault="00EC5572" w:rsidP="005474C7">
      <w:r>
        <w:separator/>
      </w:r>
    </w:p>
  </w:endnote>
  <w:endnote w:type="continuationSeparator" w:id="1">
    <w:p w:rsidR="00EC5572" w:rsidRDefault="00EC5572" w:rsidP="005474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仿宋简体">
    <w:altName w:val="宋体"/>
    <w:panose1 w:val="00000000000000000000"/>
    <w:charset w:val="86"/>
    <w:family w:val="roman"/>
    <w:notTrueType/>
    <w:pitch w:val="default"/>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5572" w:rsidRDefault="00EC5572" w:rsidP="005474C7">
      <w:r>
        <w:separator/>
      </w:r>
    </w:p>
  </w:footnote>
  <w:footnote w:type="continuationSeparator" w:id="1">
    <w:p w:rsidR="00EC5572" w:rsidRDefault="00EC5572" w:rsidP="005474C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474C7"/>
    <w:rsid w:val="005474C7"/>
    <w:rsid w:val="00EC557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74C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474C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474C7"/>
    <w:rPr>
      <w:sz w:val="18"/>
      <w:szCs w:val="18"/>
    </w:rPr>
  </w:style>
  <w:style w:type="paragraph" w:styleId="a4">
    <w:name w:val="footer"/>
    <w:basedOn w:val="a"/>
    <w:link w:val="Char0"/>
    <w:uiPriority w:val="99"/>
    <w:semiHidden/>
    <w:unhideWhenUsed/>
    <w:rsid w:val="005474C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474C7"/>
    <w:rPr>
      <w:sz w:val="18"/>
      <w:szCs w:val="18"/>
    </w:rPr>
  </w:style>
  <w:style w:type="paragraph" w:customStyle="1" w:styleId="110">
    <w:name w:val="样式 1 10 磅"/>
    <w:rsid w:val="005474C7"/>
    <w:pPr>
      <w:keepNext/>
      <w:keepLines/>
      <w:widowControl w:val="0"/>
      <w:spacing w:before="260" w:after="260"/>
      <w:jc w:val="both"/>
      <w:outlineLvl w:val="1"/>
    </w:pPr>
    <w:rPr>
      <w:rFonts w:ascii="Arial" w:eastAsia="宋体" w:hAnsi="Arial" w:cs="Times New Roman"/>
      <w:b/>
      <w:szCs w:val="24"/>
    </w:rPr>
  </w:style>
  <w:style w:type="paragraph" w:customStyle="1" w:styleId="10">
    <w:name w:val="样式 10 磅"/>
    <w:next w:val="110"/>
    <w:rsid w:val="005474C7"/>
    <w:pPr>
      <w:widowControl w:val="0"/>
      <w:jc w:val="both"/>
    </w:pPr>
    <w:rPr>
      <w:rFonts w:ascii="Times New Roman" w:eastAsia="宋体" w:hAnsi="Times New Roman" w:cs="Times New Roman"/>
      <w:szCs w:val="24"/>
    </w:rPr>
  </w:style>
  <w:style w:type="paragraph" w:customStyle="1" w:styleId="9">
    <w:name w:val="样式 9 三号"/>
    <w:next w:val="110"/>
    <w:rsid w:val="005474C7"/>
    <w:pPr>
      <w:widowControl w:val="0"/>
      <w:adjustRightInd w:val="0"/>
      <w:snapToGrid w:val="0"/>
      <w:spacing w:line="594" w:lineRule="exact"/>
      <w:ind w:firstLineChars="200" w:firstLine="200"/>
      <w:jc w:val="both"/>
    </w:pPr>
    <w:rPr>
      <w:rFonts w:ascii="Times New Roman" w:eastAsia="方正仿宋简体" w:hAnsi="Times New Roman" w:cs="Times New Roman"/>
      <w:sz w:val="32"/>
      <w:szCs w:val="24"/>
    </w:rPr>
  </w:style>
  <w:style w:type="paragraph" w:customStyle="1" w:styleId="2710">
    <w:name w:val="样式 27 10 磅"/>
    <w:next w:val="110"/>
    <w:rsid w:val="005474C7"/>
    <w:pPr>
      <w:widowControl w:val="0"/>
      <w:jc w:val="both"/>
    </w:pPr>
    <w:rPr>
      <w:rFonts w:ascii="Times New Roman" w:eastAsia="宋体" w:hAnsi="Times New Roman" w:cs="Times New Roman"/>
      <w:szCs w:val="24"/>
    </w:rPr>
  </w:style>
  <w:style w:type="paragraph" w:customStyle="1" w:styleId="1">
    <w:name w:val="样式 1 小四"/>
    <w:rsid w:val="005474C7"/>
    <w:rPr>
      <w:rFonts w:ascii="Times New Roman" w:eastAsia="宋体" w:hAnsi="Times New Roman" w:cs="Times New Roman"/>
      <w:kern w:val="0"/>
      <w:sz w:val="24"/>
      <w:szCs w:val="24"/>
      <w:lang w:eastAsia="en-US"/>
    </w:rPr>
  </w:style>
  <w:style w:type="paragraph" w:customStyle="1" w:styleId="4510">
    <w:name w:val="样式 45 10 磅"/>
    <w:rsid w:val="005474C7"/>
    <w:pPr>
      <w:widowControl w:val="0"/>
      <w:jc w:val="both"/>
    </w:pPr>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divs>
    <w:div w:id="203183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Words>
  <Characters>1124</Characters>
  <Application>Microsoft Office Word</Application>
  <DocSecurity>0</DocSecurity>
  <Lines>9</Lines>
  <Paragraphs>2</Paragraphs>
  <ScaleCrop>false</ScaleCrop>
  <Company>Customs</Company>
  <LinksUpToDate>false</LinksUpToDate>
  <CharactersWithSpaces>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陈雪静</dc:creator>
  <cp:keywords/>
  <dc:description/>
  <cp:lastModifiedBy>陈雪静</cp:lastModifiedBy>
  <cp:revision>2</cp:revision>
  <dcterms:created xsi:type="dcterms:W3CDTF">2020-12-28T00:57:00Z</dcterms:created>
  <dcterms:modified xsi:type="dcterms:W3CDTF">2020-12-28T00:57:00Z</dcterms:modified>
</cp:coreProperties>
</file>