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9AD" w:rsidRDefault="00B009AD" w:rsidP="00B009AD">
      <w:pPr>
        <w:pStyle w:val="9"/>
        <w:autoSpaceDN w:val="0"/>
        <w:spacing w:line="560" w:lineRule="exact"/>
        <w:ind w:firstLineChars="0" w:firstLine="0"/>
        <w:rPr>
          <w:rFonts w:ascii="方正黑体_GBK" w:eastAsia="方正黑体_GBK"/>
          <w:b/>
          <w:bCs/>
          <w:kern w:val="0"/>
          <w:szCs w:val="32"/>
        </w:rPr>
      </w:pPr>
      <w:r>
        <w:rPr>
          <w:rFonts w:ascii="方正黑体_GBK" w:eastAsia="方正黑体_GBK" w:hint="eastAsia"/>
          <w:b/>
          <w:bCs/>
          <w:kern w:val="0"/>
          <w:szCs w:val="32"/>
        </w:rPr>
        <w:t>附件3</w:t>
      </w:r>
    </w:p>
    <w:p w:rsidR="00B009AD" w:rsidRDefault="00B009AD" w:rsidP="00B009AD">
      <w:pPr>
        <w:pStyle w:val="110"/>
        <w:keepNext w:val="0"/>
        <w:keepLines w:val="0"/>
        <w:autoSpaceDN w:val="0"/>
        <w:spacing w:before="0" w:after="0" w:line="560" w:lineRule="exact"/>
        <w:rPr>
          <w:rFonts w:cs="Arial" w:hint="eastAsia"/>
          <w:szCs w:val="21"/>
        </w:rPr>
      </w:pPr>
    </w:p>
    <w:p w:rsidR="00B009AD" w:rsidRDefault="00B009AD" w:rsidP="00B009AD">
      <w:pPr>
        <w:pStyle w:val="4510"/>
        <w:autoSpaceDE w:val="0"/>
        <w:autoSpaceDN w:val="0"/>
        <w:adjustRightInd w:val="0"/>
        <w:spacing w:line="560" w:lineRule="exact"/>
        <w:jc w:val="center"/>
        <w:rPr>
          <w:rFonts w:ascii="方正小标宋_GBK" w:eastAsia="方正小标宋_GBK"/>
          <w:kern w:val="0"/>
          <w:sz w:val="44"/>
          <w:szCs w:val="44"/>
        </w:rPr>
      </w:pPr>
      <w:r>
        <w:rPr>
          <w:rFonts w:ascii="方正小标宋_GBK" w:eastAsia="方正小标宋_GBK" w:hint="eastAsia"/>
          <w:kern w:val="0"/>
          <w:sz w:val="44"/>
          <w:szCs w:val="44"/>
        </w:rPr>
        <w:t>石家庄海关口岸突发公共卫生事件</w:t>
      </w:r>
    </w:p>
    <w:p w:rsidR="00B009AD" w:rsidRDefault="00B009AD" w:rsidP="00B009AD">
      <w:pPr>
        <w:pStyle w:val="4510"/>
        <w:autoSpaceDE w:val="0"/>
        <w:autoSpaceDN w:val="0"/>
        <w:adjustRightInd w:val="0"/>
        <w:spacing w:line="560" w:lineRule="exact"/>
        <w:jc w:val="center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方正小标宋_GBK" w:eastAsia="方正小标宋_GBK" w:hint="eastAsia"/>
          <w:kern w:val="0"/>
          <w:sz w:val="44"/>
          <w:szCs w:val="44"/>
        </w:rPr>
        <w:t>信息报告原则和程序</w:t>
      </w:r>
    </w:p>
    <w:p w:rsidR="00B009AD" w:rsidRDefault="00B009AD" w:rsidP="00B009AD">
      <w:pPr>
        <w:pStyle w:val="4510"/>
        <w:autoSpaceDE w:val="0"/>
        <w:autoSpaceDN w:val="0"/>
        <w:adjustRightInd w:val="0"/>
        <w:spacing w:line="560" w:lineRule="exact"/>
        <w:jc w:val="center"/>
        <w:rPr>
          <w:rFonts w:ascii="方正小标宋_GBK" w:eastAsia="方正小标宋_GBK" w:hint="eastAsia"/>
          <w:color w:val="000000"/>
          <w:sz w:val="44"/>
          <w:szCs w:val="44"/>
        </w:rPr>
      </w:pP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 w:hint="eastAsia"/>
          <w:bCs/>
          <w:color w:val="000000"/>
          <w:kern w:val="0"/>
          <w:szCs w:val="32"/>
        </w:rPr>
      </w:pPr>
      <w:r>
        <w:rPr>
          <w:rFonts w:eastAsia="方正仿宋_GBK"/>
          <w:bCs/>
          <w:color w:val="000000"/>
          <w:kern w:val="0"/>
          <w:szCs w:val="32"/>
        </w:rPr>
        <w:t>1</w:t>
      </w:r>
      <w:r>
        <w:rPr>
          <w:rFonts w:eastAsia="方正仿宋_GBK" w:hint="eastAsia"/>
          <w:bCs/>
          <w:color w:val="000000"/>
          <w:kern w:val="0"/>
          <w:szCs w:val="32"/>
        </w:rPr>
        <w:t>报告原则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/>
          <w:bCs/>
          <w:color w:val="000000"/>
          <w:kern w:val="0"/>
          <w:szCs w:val="32"/>
        </w:rPr>
        <w:t>1.1</w:t>
      </w:r>
      <w:r>
        <w:rPr>
          <w:rFonts w:eastAsia="方正仿宋_GBK" w:hint="eastAsia"/>
          <w:bCs/>
          <w:color w:val="000000"/>
          <w:kern w:val="0"/>
          <w:szCs w:val="32"/>
        </w:rPr>
        <w:t>“即现即报”原则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 w:hint="eastAsia"/>
          <w:bCs/>
          <w:color w:val="000000"/>
          <w:kern w:val="0"/>
          <w:szCs w:val="32"/>
        </w:rPr>
        <w:t>隶属海关发现或接报发生口岸突发公共卫生事件后，应立即组织核查，核实后应立即报告本级应急指挥部和直属海关应急办公室。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/>
          <w:bCs/>
          <w:color w:val="000000"/>
          <w:kern w:val="0"/>
          <w:szCs w:val="32"/>
        </w:rPr>
        <w:t>1.2</w:t>
      </w:r>
      <w:r>
        <w:rPr>
          <w:rFonts w:eastAsia="方正仿宋_GBK" w:hint="eastAsia"/>
          <w:bCs/>
          <w:color w:val="000000"/>
          <w:kern w:val="0"/>
          <w:szCs w:val="32"/>
        </w:rPr>
        <w:t>“分段报告”原则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 w:hint="eastAsia"/>
          <w:bCs/>
          <w:color w:val="000000"/>
          <w:kern w:val="0"/>
          <w:szCs w:val="32"/>
        </w:rPr>
        <w:t>按照“初报要快、续报要准、终报要全”的原则，各级海关在遵循逐级审核及报告程序的基础上，采取最快捷、有效的方式报告口岸突发公共卫生事件及其处置情况。遇到特别重大突发紧急情况，必要时可以越级上报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/>
          <w:bCs/>
          <w:color w:val="000000"/>
          <w:kern w:val="0"/>
          <w:szCs w:val="32"/>
        </w:rPr>
        <w:t>1.3</w:t>
      </w:r>
      <w:r>
        <w:rPr>
          <w:rFonts w:eastAsia="方正仿宋_GBK" w:hint="eastAsia"/>
          <w:bCs/>
          <w:color w:val="000000"/>
          <w:kern w:val="0"/>
          <w:szCs w:val="32"/>
        </w:rPr>
        <w:t>“双线同步”原则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 w:hint="eastAsia"/>
          <w:bCs/>
          <w:color w:val="000000"/>
          <w:kern w:val="0"/>
          <w:szCs w:val="32"/>
        </w:rPr>
        <w:t>发生口岸突发公共卫生事件后，直属海关和隶属海关应视突发事件的性质、特点和影响范围，同时通报同级地方政府和口岸联检单位。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/>
          <w:bCs/>
          <w:color w:val="000000"/>
          <w:kern w:val="0"/>
          <w:szCs w:val="32"/>
        </w:rPr>
        <w:t>1.4</w:t>
      </w:r>
      <w:r>
        <w:rPr>
          <w:rFonts w:eastAsia="方正仿宋_GBK" w:hint="eastAsia"/>
          <w:bCs/>
          <w:color w:val="000000"/>
          <w:kern w:val="0"/>
          <w:szCs w:val="32"/>
        </w:rPr>
        <w:t>“追踪反馈”原则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 w:hint="eastAsia"/>
          <w:bCs/>
          <w:color w:val="000000"/>
          <w:kern w:val="0"/>
          <w:szCs w:val="32"/>
        </w:rPr>
        <w:t>隶属海关应及时调查和分析口岸突发公共卫生事件发生的原因、变化动态、应急措施、处置结果等情况，并及时报告应急办公室，及时向上级报告。</w:t>
      </w:r>
    </w:p>
    <w:p w:rsidR="00B009AD" w:rsidRDefault="00B009AD" w:rsidP="00B009AD">
      <w:pPr>
        <w:pStyle w:val="9"/>
        <w:autoSpaceDN w:val="0"/>
        <w:spacing w:line="560" w:lineRule="exact"/>
        <w:ind w:firstLine="643"/>
        <w:rPr>
          <w:rFonts w:eastAsia="方正仿宋_GBK"/>
          <w:b/>
          <w:bCs/>
          <w:color w:val="000000"/>
          <w:szCs w:val="32"/>
        </w:rPr>
      </w:pPr>
      <w:r>
        <w:rPr>
          <w:rFonts w:eastAsia="方正仿宋_GBK"/>
          <w:b/>
          <w:bCs/>
          <w:color w:val="000000"/>
          <w:szCs w:val="32"/>
        </w:rPr>
        <w:t xml:space="preserve">2 </w:t>
      </w:r>
      <w:r>
        <w:rPr>
          <w:rFonts w:eastAsia="方正仿宋_GBK" w:hint="eastAsia"/>
          <w:b/>
          <w:bCs/>
          <w:color w:val="000000"/>
          <w:szCs w:val="32"/>
        </w:rPr>
        <w:t>报告形式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 w:hint="eastAsia"/>
          <w:bCs/>
          <w:color w:val="000000"/>
          <w:kern w:val="0"/>
          <w:szCs w:val="32"/>
        </w:rPr>
        <w:lastRenderedPageBreak/>
        <w:t>信息报告的形式分电话报告和书面报告</w:t>
      </w:r>
      <w:r>
        <w:rPr>
          <w:rFonts w:eastAsia="方正仿宋_GBK"/>
          <w:bCs/>
          <w:color w:val="000000"/>
          <w:kern w:val="0"/>
          <w:szCs w:val="32"/>
        </w:rPr>
        <w:t>2</w:t>
      </w:r>
      <w:r>
        <w:rPr>
          <w:rFonts w:eastAsia="方正仿宋_GBK" w:hint="eastAsia"/>
          <w:bCs/>
          <w:color w:val="000000"/>
          <w:kern w:val="0"/>
          <w:szCs w:val="32"/>
        </w:rPr>
        <w:t>种，口岸突发公共卫生事件发生后，原则上应先电话紧急报告，后书面正式报告。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/>
          <w:bCs/>
          <w:color w:val="000000"/>
          <w:kern w:val="0"/>
          <w:szCs w:val="32"/>
        </w:rPr>
        <w:t>2.1</w:t>
      </w:r>
      <w:r>
        <w:rPr>
          <w:rFonts w:eastAsia="方正仿宋_GBK" w:hint="eastAsia"/>
          <w:bCs/>
          <w:color w:val="000000"/>
          <w:kern w:val="0"/>
          <w:szCs w:val="32"/>
        </w:rPr>
        <w:t>电话报告工作要求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 w:hint="eastAsia"/>
          <w:bCs/>
          <w:color w:val="000000"/>
          <w:kern w:val="0"/>
          <w:szCs w:val="32"/>
        </w:rPr>
        <w:t>电话报告应讲清楚“六个要素”：发生口岸突发公共卫生事件的时间、地点、事由、现状、影响和采取的措施。其中，时间报告要精确到分钟，地点要明确具体口岸或现场。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 w:hint="eastAsia"/>
          <w:bCs/>
          <w:color w:val="000000"/>
          <w:kern w:val="0"/>
          <w:szCs w:val="32"/>
        </w:rPr>
        <w:t>接报人员应认真接听、主动询问，填写电话报告记录，记录中应详细记载上述“六要素”，以及报告单位、人员、时间和联系方式，并附接报人员姓名和联系方式等。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/>
          <w:bCs/>
          <w:color w:val="000000"/>
          <w:kern w:val="0"/>
          <w:szCs w:val="32"/>
        </w:rPr>
        <w:t>2.2</w:t>
      </w:r>
      <w:r>
        <w:rPr>
          <w:rFonts w:eastAsia="方正仿宋_GBK" w:hint="eastAsia"/>
          <w:bCs/>
          <w:color w:val="000000"/>
          <w:kern w:val="0"/>
          <w:szCs w:val="32"/>
        </w:rPr>
        <w:t>书面报告工作要求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 w:hint="eastAsia"/>
          <w:bCs/>
          <w:color w:val="000000"/>
          <w:kern w:val="0"/>
          <w:szCs w:val="32"/>
        </w:rPr>
        <w:t>书面报告应条理清楚、语句简洁、重点突出，详细报告口岸突发公共卫生事件发生的时间、地点、过程、状况、原因及影响，已经采取的措施及效果，事态发展预测和下一步行动计划以及处置建议等。</w:t>
      </w:r>
    </w:p>
    <w:p w:rsidR="00B009AD" w:rsidRDefault="00B009AD" w:rsidP="00B009AD">
      <w:pPr>
        <w:pStyle w:val="9"/>
        <w:autoSpaceDN w:val="0"/>
        <w:spacing w:line="560" w:lineRule="exact"/>
        <w:ind w:firstLine="643"/>
        <w:rPr>
          <w:rFonts w:eastAsia="方正仿宋_GBK"/>
          <w:b/>
          <w:bCs/>
          <w:color w:val="000000"/>
          <w:szCs w:val="32"/>
        </w:rPr>
      </w:pPr>
      <w:r>
        <w:rPr>
          <w:rFonts w:eastAsia="方正仿宋_GBK"/>
          <w:b/>
          <w:bCs/>
          <w:color w:val="000000"/>
          <w:szCs w:val="32"/>
        </w:rPr>
        <w:t xml:space="preserve">3 </w:t>
      </w:r>
      <w:r>
        <w:rPr>
          <w:rFonts w:eastAsia="方正仿宋_GBK" w:hint="eastAsia"/>
          <w:b/>
          <w:bCs/>
          <w:color w:val="000000"/>
          <w:szCs w:val="32"/>
        </w:rPr>
        <w:t>报告程序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 w:hint="eastAsia"/>
          <w:bCs/>
          <w:color w:val="000000"/>
          <w:kern w:val="0"/>
          <w:szCs w:val="32"/>
        </w:rPr>
        <w:t>各级海关为口岸突发公共卫生事件的责任报告机构，履行职务的各级海关关员为责任报告人。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bookmarkStart w:id="0" w:name="_Toc43648597"/>
      <w:r>
        <w:rPr>
          <w:rFonts w:eastAsia="方正仿宋_GBK"/>
          <w:bCs/>
          <w:color w:val="000000"/>
          <w:kern w:val="0"/>
          <w:szCs w:val="32"/>
        </w:rPr>
        <w:t>3.1</w:t>
      </w:r>
      <w:r>
        <w:rPr>
          <w:rFonts w:eastAsia="方正仿宋_GBK" w:hint="eastAsia"/>
          <w:bCs/>
          <w:color w:val="000000"/>
          <w:kern w:val="0"/>
          <w:szCs w:val="32"/>
        </w:rPr>
        <w:t>初次报告</w:t>
      </w:r>
      <w:bookmarkEnd w:id="0"/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 w:hint="eastAsia"/>
          <w:bCs/>
          <w:color w:val="000000"/>
          <w:kern w:val="0"/>
          <w:szCs w:val="32"/>
        </w:rPr>
        <w:t>报告内容包括突发事件的时间、地点、初步判定的事件类别和性质、发病人数、死亡人数、主要的临床症状、可能原因、采取的措施等。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ascii="方正仿宋_GBK" w:eastAsia="方正仿宋_GBK" w:hint="eastAsia"/>
          <w:bCs/>
          <w:color w:val="000000"/>
          <w:kern w:val="0"/>
          <w:szCs w:val="32"/>
        </w:rPr>
        <w:t>Ⅰ</w:t>
      </w:r>
      <w:r>
        <w:rPr>
          <w:rFonts w:eastAsia="方正仿宋_GBK" w:hint="eastAsia"/>
          <w:bCs/>
          <w:color w:val="000000"/>
          <w:kern w:val="0"/>
          <w:szCs w:val="32"/>
        </w:rPr>
        <w:t>级、</w:t>
      </w:r>
      <w:r>
        <w:rPr>
          <w:rFonts w:ascii="方正仿宋_GBK" w:eastAsia="方正仿宋_GBK" w:hint="eastAsia"/>
          <w:bCs/>
          <w:color w:val="000000"/>
          <w:kern w:val="0"/>
          <w:szCs w:val="32"/>
        </w:rPr>
        <w:t>Ⅱ</w:t>
      </w:r>
      <w:r>
        <w:rPr>
          <w:rFonts w:eastAsia="方正仿宋_GBK" w:hint="eastAsia"/>
          <w:bCs/>
          <w:color w:val="000000"/>
          <w:kern w:val="0"/>
          <w:szCs w:val="32"/>
        </w:rPr>
        <w:t>级突发公共卫生事件报告程序如下：事发地隶属海关应第一时间直接电话报告总署总值班室、总署业务主</w:t>
      </w:r>
      <w:r>
        <w:rPr>
          <w:rFonts w:eastAsia="方正仿宋_GBK" w:hint="eastAsia"/>
          <w:bCs/>
          <w:color w:val="000000"/>
          <w:kern w:val="0"/>
          <w:szCs w:val="32"/>
        </w:rPr>
        <w:lastRenderedPageBreak/>
        <w:t>管部门，并作出书面报告，同时抄报直属海关；直属海关接报后同时向当地政府报告。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ascii="方正仿宋_GBK" w:eastAsia="方正仿宋_GBK" w:hint="eastAsia"/>
          <w:bCs/>
          <w:color w:val="000000"/>
          <w:kern w:val="0"/>
          <w:szCs w:val="32"/>
        </w:rPr>
        <w:t>Ⅲ</w:t>
      </w:r>
      <w:r>
        <w:rPr>
          <w:rFonts w:eastAsia="方正仿宋_GBK" w:hint="eastAsia"/>
          <w:bCs/>
          <w:color w:val="000000"/>
          <w:kern w:val="0"/>
          <w:szCs w:val="32"/>
        </w:rPr>
        <w:t>级突发公共卫生事件报告程序如下：事发地隶属海关发现或接到事件信息后</w:t>
      </w:r>
      <w:r>
        <w:rPr>
          <w:rFonts w:eastAsia="方正仿宋_GBK"/>
          <w:bCs/>
          <w:color w:val="000000"/>
          <w:kern w:val="0"/>
          <w:szCs w:val="32"/>
        </w:rPr>
        <w:t>2</w:t>
      </w:r>
      <w:r>
        <w:rPr>
          <w:rFonts w:eastAsia="方正仿宋_GBK" w:hint="eastAsia"/>
          <w:bCs/>
          <w:color w:val="000000"/>
          <w:kern w:val="0"/>
          <w:szCs w:val="32"/>
        </w:rPr>
        <w:t>小时内报告直属海关值班机构；直属海关接报后第一时间报告总署总值班室，并同时向当地政府报告。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ascii="方正仿宋_GBK" w:eastAsia="方正仿宋_GBK" w:hint="eastAsia"/>
          <w:bCs/>
          <w:color w:val="000000"/>
          <w:kern w:val="0"/>
          <w:szCs w:val="32"/>
        </w:rPr>
        <w:t>Ⅳ</w:t>
      </w:r>
      <w:r>
        <w:rPr>
          <w:rFonts w:eastAsia="方正仿宋_GBK" w:hint="eastAsia"/>
          <w:bCs/>
          <w:color w:val="000000"/>
          <w:kern w:val="0"/>
          <w:szCs w:val="32"/>
        </w:rPr>
        <w:t>级突发公共卫生事件报告程序如下：事发地隶属海关发现或接到事件信息后</w:t>
      </w:r>
      <w:r>
        <w:rPr>
          <w:rFonts w:eastAsia="方正仿宋_GBK"/>
          <w:bCs/>
          <w:color w:val="000000"/>
          <w:kern w:val="0"/>
          <w:szCs w:val="32"/>
        </w:rPr>
        <w:t>2</w:t>
      </w:r>
      <w:r>
        <w:rPr>
          <w:rFonts w:eastAsia="方正仿宋_GBK" w:hint="eastAsia"/>
          <w:bCs/>
          <w:color w:val="000000"/>
          <w:kern w:val="0"/>
          <w:szCs w:val="32"/>
        </w:rPr>
        <w:t>小时内报告直属海关值班机构，同时向当地政府报告。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bookmarkStart w:id="1" w:name="_Toc43648598"/>
      <w:r>
        <w:rPr>
          <w:rFonts w:eastAsia="方正仿宋_GBK"/>
          <w:bCs/>
          <w:color w:val="000000"/>
          <w:kern w:val="0"/>
          <w:szCs w:val="32"/>
        </w:rPr>
        <w:t>3.2</w:t>
      </w:r>
      <w:r>
        <w:rPr>
          <w:rFonts w:eastAsia="方正仿宋_GBK" w:hint="eastAsia"/>
          <w:bCs/>
          <w:color w:val="000000"/>
          <w:kern w:val="0"/>
          <w:szCs w:val="32"/>
        </w:rPr>
        <w:t>进程报告</w:t>
      </w:r>
      <w:bookmarkEnd w:id="1"/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r>
        <w:rPr>
          <w:rFonts w:eastAsia="方正仿宋_GBK" w:hint="eastAsia"/>
          <w:bCs/>
          <w:color w:val="000000"/>
          <w:kern w:val="0"/>
          <w:szCs w:val="32"/>
        </w:rPr>
        <w:t>主要是对初次报告的内容进行补充和修正，采取文字报告的形式，内容包括事件的发展与变化、处置进程、事件的诊断和原因或可能因素，以及势态评估、控制措施等。</w:t>
      </w:r>
      <w:r>
        <w:rPr>
          <w:rFonts w:ascii="方正仿宋_GBK" w:eastAsia="方正仿宋_GBK" w:hint="eastAsia"/>
          <w:bCs/>
          <w:color w:val="000000"/>
          <w:kern w:val="0"/>
          <w:szCs w:val="32"/>
        </w:rPr>
        <w:t>Ⅰ</w:t>
      </w:r>
      <w:r>
        <w:rPr>
          <w:rFonts w:eastAsia="方正仿宋_GBK" w:hint="eastAsia"/>
          <w:bCs/>
          <w:color w:val="000000"/>
          <w:kern w:val="0"/>
          <w:szCs w:val="32"/>
        </w:rPr>
        <w:t>级、</w:t>
      </w:r>
      <w:r>
        <w:rPr>
          <w:rFonts w:ascii="方正仿宋_GBK" w:eastAsia="方正仿宋_GBK" w:hint="eastAsia"/>
          <w:bCs/>
          <w:color w:val="000000"/>
          <w:kern w:val="0"/>
          <w:szCs w:val="32"/>
        </w:rPr>
        <w:t>Ⅱ</w:t>
      </w:r>
      <w:r>
        <w:rPr>
          <w:rFonts w:eastAsia="方正仿宋_GBK" w:hint="eastAsia"/>
          <w:bCs/>
          <w:color w:val="000000"/>
          <w:kern w:val="0"/>
          <w:szCs w:val="32"/>
        </w:rPr>
        <w:t>级、</w:t>
      </w:r>
      <w:r>
        <w:rPr>
          <w:rFonts w:ascii="方正仿宋_GBK" w:eastAsia="方正仿宋_GBK" w:hint="eastAsia"/>
          <w:bCs/>
          <w:color w:val="000000"/>
          <w:kern w:val="0"/>
          <w:szCs w:val="32"/>
        </w:rPr>
        <w:t>Ⅲ</w:t>
      </w:r>
      <w:r>
        <w:rPr>
          <w:rFonts w:eastAsia="方正仿宋_GBK" w:hint="eastAsia"/>
          <w:bCs/>
          <w:color w:val="000000"/>
          <w:kern w:val="0"/>
          <w:szCs w:val="32"/>
        </w:rPr>
        <w:t>级突发公共卫生事件至少按日进行进程报告，</w:t>
      </w:r>
      <w:r>
        <w:rPr>
          <w:rFonts w:ascii="方正仿宋_GBK" w:eastAsia="方正仿宋_GBK" w:hint="eastAsia"/>
          <w:bCs/>
          <w:color w:val="000000"/>
          <w:kern w:val="0"/>
          <w:szCs w:val="32"/>
        </w:rPr>
        <w:t>Ⅳ</w:t>
      </w:r>
      <w:r>
        <w:rPr>
          <w:rFonts w:eastAsia="方正仿宋_GBK" w:hint="eastAsia"/>
          <w:bCs/>
          <w:color w:val="000000"/>
          <w:kern w:val="0"/>
          <w:szCs w:val="32"/>
        </w:rPr>
        <w:t>级突发公共卫生事件根据事件发展与变化的情况报送进程报告。</w:t>
      </w:r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方正仿宋_GBK"/>
          <w:bCs/>
          <w:color w:val="000000"/>
          <w:kern w:val="0"/>
          <w:szCs w:val="32"/>
        </w:rPr>
      </w:pPr>
      <w:bookmarkStart w:id="2" w:name="_Toc43648599"/>
      <w:r>
        <w:rPr>
          <w:rFonts w:eastAsia="方正仿宋_GBK"/>
          <w:bCs/>
          <w:color w:val="000000"/>
          <w:kern w:val="0"/>
          <w:szCs w:val="32"/>
        </w:rPr>
        <w:t>3.3</w:t>
      </w:r>
      <w:r>
        <w:rPr>
          <w:rFonts w:eastAsia="方正仿宋_GBK" w:hint="eastAsia"/>
          <w:bCs/>
          <w:color w:val="000000"/>
          <w:kern w:val="0"/>
          <w:szCs w:val="32"/>
        </w:rPr>
        <w:t>结案报告</w:t>
      </w:r>
      <w:bookmarkEnd w:id="2"/>
    </w:p>
    <w:p w:rsidR="00B009AD" w:rsidRDefault="00B009AD" w:rsidP="00B009AD">
      <w:pPr>
        <w:pStyle w:val="9"/>
        <w:autoSpaceDN w:val="0"/>
        <w:spacing w:line="560" w:lineRule="exact"/>
        <w:ind w:firstLine="640"/>
        <w:rPr>
          <w:rFonts w:eastAsia="仿宋_GB2312"/>
          <w:b/>
          <w:bCs/>
          <w:szCs w:val="32"/>
        </w:rPr>
      </w:pPr>
      <w:r>
        <w:rPr>
          <w:rFonts w:eastAsia="方正仿宋_GBK" w:hint="eastAsia"/>
          <w:bCs/>
          <w:color w:val="000000"/>
          <w:kern w:val="0"/>
          <w:szCs w:val="32"/>
        </w:rPr>
        <w:t>突发公共卫生事件在相应级别应急指挥部宣布结束后一周内，由相应级别应急指挥部对事件的发生和应急处置情况进行总结，分析其原因和影响因素，并提出防范和处置建议，形成结案报告。</w:t>
      </w:r>
    </w:p>
    <w:p w:rsidR="00B009AD" w:rsidRDefault="00B009AD" w:rsidP="00B009AD">
      <w:pPr>
        <w:autoSpaceDE w:val="0"/>
        <w:autoSpaceDN w:val="0"/>
        <w:adjustRightInd w:val="0"/>
        <w:spacing w:line="560" w:lineRule="exact"/>
        <w:rPr>
          <w:rFonts w:eastAsia="方正仿宋_GBK"/>
          <w:b/>
          <w:bCs/>
          <w:sz w:val="32"/>
          <w:szCs w:val="32"/>
          <w:lang w:val="zh-CN"/>
        </w:rPr>
      </w:pPr>
    </w:p>
    <w:p w:rsidR="00B009AD" w:rsidRDefault="00B009AD" w:rsidP="00B009AD">
      <w:pPr>
        <w:autoSpaceDE w:val="0"/>
        <w:autoSpaceDN w:val="0"/>
        <w:adjustRightInd w:val="0"/>
        <w:spacing w:line="560" w:lineRule="exact"/>
        <w:rPr>
          <w:rFonts w:eastAsia="仿宋_GB2312"/>
          <w:b/>
          <w:bCs/>
          <w:sz w:val="32"/>
          <w:szCs w:val="32"/>
        </w:rPr>
      </w:pPr>
    </w:p>
    <w:p w:rsidR="00B009AD" w:rsidRDefault="00B009AD" w:rsidP="00B009AD"/>
    <w:p w:rsidR="00B009AD" w:rsidRDefault="00B009AD" w:rsidP="00B009AD"/>
    <w:p w:rsidR="00005F92" w:rsidRDefault="00005F92"/>
    <w:sectPr w:rsidR="00005F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5F92" w:rsidRDefault="00005F92" w:rsidP="00B009AD">
      <w:r>
        <w:separator/>
      </w:r>
    </w:p>
  </w:endnote>
  <w:endnote w:type="continuationSeparator" w:id="1">
    <w:p w:rsidR="00005F92" w:rsidRDefault="00005F92" w:rsidP="00B009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5F92" w:rsidRDefault="00005F92" w:rsidP="00B009AD">
      <w:r>
        <w:separator/>
      </w:r>
    </w:p>
  </w:footnote>
  <w:footnote w:type="continuationSeparator" w:id="1">
    <w:p w:rsidR="00005F92" w:rsidRDefault="00005F92" w:rsidP="00B009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09AD"/>
    <w:rsid w:val="00005F92"/>
    <w:rsid w:val="00B00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9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009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009A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009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009AD"/>
    <w:rPr>
      <w:sz w:val="18"/>
      <w:szCs w:val="18"/>
    </w:rPr>
  </w:style>
  <w:style w:type="paragraph" w:customStyle="1" w:styleId="110">
    <w:name w:val="样式 1 10 磅"/>
    <w:rsid w:val="00B009AD"/>
    <w:pPr>
      <w:keepNext/>
      <w:keepLines/>
      <w:widowControl w:val="0"/>
      <w:spacing w:before="260" w:after="260"/>
      <w:jc w:val="both"/>
      <w:outlineLvl w:val="1"/>
    </w:pPr>
    <w:rPr>
      <w:rFonts w:ascii="Arial" w:eastAsia="宋体" w:hAnsi="Arial" w:cs="Times New Roman"/>
      <w:b/>
      <w:szCs w:val="24"/>
    </w:rPr>
  </w:style>
  <w:style w:type="paragraph" w:customStyle="1" w:styleId="9">
    <w:name w:val="样式 9 三号"/>
    <w:next w:val="110"/>
    <w:rsid w:val="00B009AD"/>
    <w:pPr>
      <w:widowControl w:val="0"/>
      <w:adjustRightInd w:val="0"/>
      <w:snapToGrid w:val="0"/>
      <w:spacing w:line="594" w:lineRule="exact"/>
      <w:ind w:firstLineChars="200" w:firstLine="200"/>
      <w:jc w:val="both"/>
    </w:pPr>
    <w:rPr>
      <w:rFonts w:ascii="Times New Roman" w:eastAsia="方正仿宋简体" w:hAnsi="Times New Roman" w:cs="Times New Roman"/>
      <w:sz w:val="32"/>
      <w:szCs w:val="24"/>
    </w:rPr>
  </w:style>
  <w:style w:type="paragraph" w:customStyle="1" w:styleId="4510">
    <w:name w:val="样式 45 10 磅"/>
    <w:rsid w:val="00B009AD"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3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1088</Characters>
  <Application>Microsoft Office Word</Application>
  <DocSecurity>0</DocSecurity>
  <Lines>9</Lines>
  <Paragraphs>2</Paragraphs>
  <ScaleCrop>false</ScaleCrop>
  <Company>Customs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陈雪静</dc:creator>
  <cp:keywords/>
  <dc:description/>
  <cp:lastModifiedBy>陈雪静</cp:lastModifiedBy>
  <cp:revision>2</cp:revision>
  <dcterms:created xsi:type="dcterms:W3CDTF">2020-12-28T00:58:00Z</dcterms:created>
  <dcterms:modified xsi:type="dcterms:W3CDTF">2020-12-28T00:58:00Z</dcterms:modified>
</cp:coreProperties>
</file>