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7"/>
        <w:spacing w:line="560" w:lineRule="exact"/>
        <w:jc w:val="center"/>
        <w:rPr>
          <w:rFonts w:ascii="方正小标宋_GBK" w:eastAsia="方正小标宋_GBK" w:cs="宋体"/>
          <w:color w:val="000000"/>
          <w:kern w:val="0"/>
          <w:sz w:val="44"/>
          <w:szCs w:val="44"/>
        </w:rPr>
      </w:pPr>
      <w:bookmarkStart w:id="0" w:name="_GoBack"/>
      <w:bookmarkEnd w:id="0"/>
      <w:r>
        <w:rPr>
          <w:rFonts w:ascii="方正小标宋_GBK" w:eastAsia="方正小标宋_GBK" w:cs="宋体" w:hint="eastAsia"/>
          <w:color w:val="000000"/>
          <w:kern w:val="0"/>
          <w:sz w:val="44"/>
          <w:szCs w:val="44"/>
        </w:rPr>
        <w:t>石家庄海关（本级机关）2020年政府信息</w:t>
      </w:r>
    </w:p>
    <w:p>
      <w:pPr>
        <w:pStyle w:val="17"/>
        <w:spacing w:line="560" w:lineRule="exact"/>
        <w:jc w:val="center"/>
        <w:rPr>
          <w:rFonts w:ascii="方正小标宋_GBK" w:eastAsia="方正小标宋_GBK" w:cs="宋体"/>
          <w:color w:val="000000"/>
          <w:kern w:val="0"/>
          <w:sz w:val="44"/>
          <w:szCs w:val="44"/>
        </w:rPr>
      </w:pPr>
      <w:r>
        <w:rPr>
          <w:rFonts w:ascii="方正小标宋_GBK" w:eastAsia="方正小标宋_GBK" w:cs="宋体" w:hint="eastAsia"/>
          <w:color w:val="000000"/>
          <w:kern w:val="0"/>
          <w:sz w:val="44"/>
          <w:szCs w:val="44"/>
        </w:rPr>
        <w:t>公开工作年度报告</w:t>
      </w:r>
    </w:p>
    <w:p>
      <w:pPr>
        <w:pStyle w:val="17"/>
        <w:spacing w:line="560" w:lineRule="exact"/>
        <w:jc w:val="center"/>
        <w:rPr>
          <w:rFonts w:ascii="方正小标宋_GBK" w:eastAsia="方正小标宋_GBK" w:cs="宋体"/>
          <w:color w:val="000000"/>
          <w:kern w:val="0"/>
          <w:sz w:val="44"/>
          <w:szCs w:val="44"/>
        </w:rPr>
      </w:pPr>
    </w:p>
    <w:p>
      <w:pPr>
        <w:pStyle w:val="17"/>
        <w:spacing w:line="560" w:lineRule="exact"/>
        <w:ind w:firstLineChars="200" w:firstLine="640"/>
        <w:rPr>
          <w:rFonts w:ascii="Times New Roman" w:eastAsia="方正仿宋_GBK" w:cs="Times New Roman" w:hAnsi="Times New Roman"/>
          <w:color w:val="000000"/>
          <w:kern w:val="0"/>
          <w:sz w:val="32"/>
          <w:szCs w:val="32"/>
        </w:rPr>
      </w:pPr>
      <w:r>
        <w:rPr>
          <w:rFonts w:ascii="Times New Roman" w:eastAsia="方正仿宋_GBK" w:cs="Times New Roman" w:hAnsi="Times New Roman"/>
          <w:color w:val="000000"/>
          <w:kern w:val="0"/>
          <w:sz w:val="32"/>
          <w:szCs w:val="32"/>
        </w:rPr>
        <w:t>本报告根据《中华人民共和国政府信息公开条例》《国务院办公厅政府信息与政务公开办公室关于政府信息公开工作年度报告有关事项的通知》规定</w:t>
      </w:r>
      <w:r>
        <w:rPr>
          <w:rFonts w:ascii="Times New Roman" w:eastAsia="方正仿宋_GBK" w:cs="Times New Roman" w:hAnsi="Times New Roman" w:hint="eastAsia"/>
          <w:color w:val="000000"/>
          <w:kern w:val="0"/>
          <w:sz w:val="32"/>
          <w:szCs w:val="32"/>
        </w:rPr>
        <w:t>，梳理石家庄海关（本级机关）2020年政府信息公开工作有关情况编制而成。</w:t>
      </w:r>
      <w:r>
        <w:rPr>
          <w:rFonts w:ascii="Times New Roman" w:eastAsia="方正仿宋_GBK" w:cs="Times New Roman" w:hAnsi="Times New Roman"/>
          <w:color w:val="000000"/>
          <w:kern w:val="0"/>
          <w:sz w:val="32"/>
          <w:szCs w:val="32"/>
        </w:rPr>
        <w:t>本报告中所列数据的统计期限自2020年1月1日起至2020年12月31日止。如对本报告有疑问</w:t>
      </w:r>
      <w:r>
        <w:rPr>
          <w:rFonts w:ascii="Times New Roman" w:eastAsia="方正仿宋_GBK" w:cs="Times New Roman" w:hAnsi="Times New Roman" w:hint="eastAsia"/>
          <w:color w:val="000000"/>
          <w:kern w:val="0"/>
          <w:sz w:val="32"/>
          <w:szCs w:val="32"/>
        </w:rPr>
        <w:t>或任何意见、建议</w:t>
      </w:r>
      <w:r>
        <w:rPr>
          <w:rFonts w:ascii="Times New Roman" w:eastAsia="方正仿宋_GBK" w:cs="Times New Roman" w:hAnsi="Times New Roman"/>
          <w:color w:val="000000"/>
          <w:kern w:val="0"/>
          <w:sz w:val="32"/>
          <w:szCs w:val="32"/>
        </w:rPr>
        <w:t>，请与石家庄海关办公室联系，地址：河北省石家庄市和平西路318号，邮编：050051，电话：0311-66709044，邮箱：</w:t>
      </w:r>
      <w:r>
        <w:rPr>
          <w:rStyle w:val="27"/>
          <w:rFonts w:ascii="Times New Roman" w:eastAsia="方正仿宋_GBK" w:cs="Times New Roman" w:hAnsi="Times New Roman"/>
          <w:kern w:val="0"/>
          <w:sz w:val="32"/>
          <w:szCs w:val="32"/>
        </w:rPr>
        <w:fldChar w:fldCharType="begin"/>
      </w:r>
      <w:r>
        <w:instrText>HYPERLINK "mailto:sjzhgzhwgk@customs.gov"</w:instrText>
      </w:r>
      <w:r>
        <w:rPr>
          <w:rStyle w:val="27"/>
          <w:rFonts w:ascii="Times New Roman" w:eastAsia="方正仿宋_GBK" w:cs="Times New Roman" w:hAnsi="Times New Roman"/>
          <w:kern w:val="0"/>
          <w:sz w:val="32"/>
          <w:szCs w:val="32"/>
        </w:rPr>
        <w:fldChar w:fldCharType="separate"/>
      </w:r>
      <w:r>
        <w:rPr>
          <w:rStyle w:val="27"/>
          <w:rFonts w:ascii="Times New Roman" w:eastAsia="方正仿宋_GBK" w:cs="Times New Roman" w:hAnsi="Times New Roman"/>
          <w:kern w:val="0"/>
          <w:sz w:val="32"/>
          <w:szCs w:val="32"/>
        </w:rPr>
        <w:t>sjzhgzhwgk@customs.gov</w:t>
      </w:r>
      <w:r>
        <w:rPr>
          <w:rStyle w:val="27"/>
          <w:rFonts w:ascii="Times New Roman" w:eastAsia="方正仿宋_GBK" w:cs="Times New Roman" w:hAnsi="Times New Roman"/>
          <w:kern w:val="0"/>
          <w:sz w:val="32"/>
          <w:szCs w:val="32"/>
        </w:rPr>
        <w:fldChar w:fldCharType="end"/>
      </w:r>
      <w:r>
        <w:rPr>
          <w:rFonts w:ascii="Times New Roman" w:eastAsia="方正仿宋_GBK" w:cs="Times New Roman" w:hAnsi="Times New Roman"/>
          <w:color w:val="000000"/>
          <w:kern w:val="0"/>
          <w:sz w:val="32"/>
          <w:szCs w:val="32"/>
        </w:rPr>
        <w:t>.</w:t>
      </w:r>
      <w:r>
        <w:rPr>
          <w:rFonts w:ascii="Times New Roman" w:eastAsia="方正仿宋_GBK" w:cs="Times New Roman" w:hAnsi="Times New Roman" w:hint="eastAsia"/>
          <w:color w:val="000000"/>
          <w:kern w:val="0"/>
          <w:sz w:val="32"/>
          <w:szCs w:val="32"/>
        </w:rPr>
        <w:t>c</w:t>
      </w:r>
      <w:r>
        <w:rPr>
          <w:rFonts w:ascii="Times New Roman" w:eastAsia="方正仿宋_GBK" w:cs="Times New Roman" w:hAnsi="Times New Roman"/>
          <w:color w:val="000000"/>
          <w:kern w:val="0"/>
          <w:sz w:val="32"/>
          <w:szCs w:val="32"/>
        </w:rPr>
        <w:t>n。</w:t>
      </w:r>
    </w:p>
    <w:p>
      <w:pPr>
        <w:pStyle w:val="17"/>
        <w:spacing w:line="560" w:lineRule="exact"/>
        <w:ind w:firstLineChars="200" w:firstLine="640"/>
        <w:rPr>
          <w:rFonts w:ascii="Times New Roman" w:eastAsia="方正黑体_GBK" w:cs="Times New Roman" w:hAnsi="Times New Roman"/>
          <w:kern w:val="0"/>
          <w:sz w:val="32"/>
          <w:szCs w:val="32"/>
        </w:rPr>
      </w:pPr>
      <w:r>
        <w:rPr>
          <w:rFonts w:ascii="Times New Roman" w:eastAsia="方正黑体_GBK" w:cs="宋体" w:hAnsi="Times New Roman" w:hint="eastAsia"/>
          <w:color w:val="000000"/>
          <w:kern w:val="0"/>
          <w:sz w:val="32"/>
          <w:szCs w:val="32"/>
        </w:rPr>
        <w:t>一、总体情况</w:t>
      </w:r>
    </w:p>
    <w:p>
      <w:pPr>
        <w:pStyle w:val="17"/>
        <w:spacing w:line="560" w:lineRule="exact"/>
        <w:ind w:firstLineChars="200" w:firstLine="640"/>
        <w:rPr>
          <w:rFonts w:ascii="Times New Roman" w:eastAsia="方正仿宋_GBK" w:cs="宋体" w:hAnsi="Times New Roman"/>
          <w:color w:val="000000"/>
          <w:kern w:val="0"/>
          <w:sz w:val="32"/>
          <w:szCs w:val="32"/>
        </w:rPr>
      </w:pPr>
      <w:r>
        <w:rPr>
          <w:rFonts w:ascii="Times New Roman" w:eastAsia="方正仿宋_GBK" w:cs="Times New Roman" w:hAnsi="Times New Roman" w:hint="eastAsia"/>
          <w:kern w:val="0"/>
          <w:sz w:val="32"/>
          <w:szCs w:val="32"/>
        </w:rPr>
        <w:t>2020</w:t>
      </w:r>
      <w:r>
        <w:rPr>
          <w:rFonts w:ascii="Times New Roman" w:eastAsia="方正仿宋_GBK" w:cs="方正仿宋_GBK" w:hAnsi="Times New Roman" w:hint="eastAsia"/>
          <w:kern w:val="0"/>
          <w:sz w:val="32"/>
          <w:szCs w:val="32"/>
        </w:rPr>
        <w:t>年，石家庄海关深入贯彻落实</w:t>
      </w:r>
      <w:r>
        <w:rPr>
          <w:rFonts w:ascii="Times New Roman" w:eastAsia="方正仿宋_GBK" w:cs="Arial" w:hAnsi="Times New Roman" w:hint="eastAsia"/>
          <w:sz w:val="32"/>
          <w:szCs w:val="32"/>
        </w:rPr>
        <w:t>《中华人民共和国政府信息公开条例》，以及《</w:t>
      </w:r>
      <w:r>
        <w:rPr>
          <w:rFonts w:ascii="Times New Roman" w:eastAsia="方正仿宋_GBK" w:hAnsi="Times New Roman"/>
          <w:sz w:val="32"/>
          <w:szCs w:val="32"/>
        </w:rPr>
        <w:t>2020</w:t>
      </w:r>
      <w:r>
        <w:rPr>
          <w:rFonts w:ascii="Times New Roman" w:eastAsia="方正仿宋_GBK" w:cs="Arial" w:hAnsi="Times New Roman" w:hint="eastAsia"/>
          <w:sz w:val="32"/>
          <w:szCs w:val="32"/>
        </w:rPr>
        <w:t>年海关政务公开工作要点》要求，不断</w:t>
      </w:r>
      <w:r>
        <w:rPr>
          <w:rFonts w:ascii="Times New Roman" w:eastAsia="方正仿宋_GBK" w:cs="宋体" w:hAnsi="Times New Roman" w:hint="eastAsia"/>
          <w:color w:val="000000"/>
          <w:kern w:val="0"/>
          <w:sz w:val="32"/>
          <w:szCs w:val="32"/>
        </w:rPr>
        <w:t>完善制度规范，推进重点领域信息公开，优化政府信息公开平台建设，加强政策解读回应，政府信息公开工作质量和水平得到进一步提升。</w:t>
      </w:r>
    </w:p>
    <w:p>
      <w:pPr>
        <w:pStyle w:val="18"/>
        <w:widowControl w:val="0"/>
        <w:autoSpaceDN w:val="0"/>
        <w:spacing w:line="580" w:lineRule="exact"/>
        <w:ind w:firstLineChars="200" w:firstLine="640"/>
        <w:jc w:val="both"/>
        <w:rPr>
          <w:lang w:eastAsia="zh-CN"/>
        </w:rPr>
      </w:pPr>
      <w:r>
        <w:rPr>
          <w:rFonts w:eastAsia="方正楷体_GBK" w:cs="宋体" w:hint="eastAsia"/>
          <w:color w:val="000000"/>
          <w:sz w:val="32"/>
          <w:szCs w:val="32"/>
          <w:lang w:eastAsia="zh-CN"/>
        </w:rPr>
        <w:t>（一）积极主动公开海关政府信息。</w:t>
      </w:r>
      <w:r>
        <w:rPr>
          <w:rFonts w:eastAsia="方正仿宋_GBK" w:hint="eastAsia"/>
          <w:sz w:val="32"/>
          <w:szCs w:val="32"/>
          <w:lang w:eastAsia="zh-CN"/>
        </w:rPr>
        <w:t>2020年，</w:t>
      </w:r>
      <w:r>
        <w:rPr>
          <w:rFonts w:eastAsia="方正仿宋_GBK" w:cs="宋体" w:hint="eastAsia"/>
          <w:color w:val="000000"/>
          <w:sz w:val="32"/>
          <w:szCs w:val="32"/>
          <w:lang w:eastAsia="zh-CN"/>
        </w:rPr>
        <w:t>通过石家庄海关门户网站、政务新媒体、新闻发布会等方式主动公开政府信息658条，其中公开规范性文件2条，政策解读13篇，应急预案4条，主动公开目录143条，行政执法信息171条，召开新闻发布会4场，其他法定主动公开事项全部按要求公开。</w:t>
      </w:r>
      <w:r>
        <w:rPr>
          <w:rFonts w:eastAsia="方正仿宋_GBK" w:hint="eastAsia"/>
          <w:sz w:val="32"/>
          <w:szCs w:val="32"/>
          <w:lang w:eastAsia="zh-CN"/>
        </w:rPr>
        <w:t>重点围绕海关“放管服”改革、严禁“洋垃圾”入境、通关一体化、疫情防控、减税降费、优化企业注销办理流程等方面，</w:t>
      </w:r>
      <w:r>
        <w:rPr>
          <w:rFonts w:ascii="方正仿宋_GBK" w:eastAsia="方正仿宋_GBK" w:hint="eastAsia"/>
          <w:sz w:val="32"/>
          <w:szCs w:val="32"/>
          <w:lang w:eastAsia="zh-CN"/>
        </w:rPr>
        <w:t>加大政策解读力度，确保海关政策及时解读及时公开，</w:t>
      </w:r>
      <w:r>
        <w:rPr>
          <w:rFonts w:eastAsia="方正仿宋_GBK" w:hint="eastAsia"/>
          <w:sz w:val="32"/>
          <w:szCs w:val="32"/>
          <w:lang w:eastAsia="zh-CN"/>
        </w:rPr>
        <w:t>在总署“12360海关热线”公众号发布海关业务指导类、政策解读类新媒体稿件11篇。</w:t>
      </w:r>
    </w:p>
    <w:p>
      <w:pPr>
        <w:spacing w:line="560" w:lineRule="exact"/>
        <w:ind w:firstLineChars="200" w:firstLine="640"/>
        <w:rPr>
          <w:rFonts w:ascii="Times New Roman" w:eastAsia="方正仿宋_GBK" w:cs="Times New Roman" w:hAnsi="Times New Roman"/>
          <w:sz w:val="32"/>
          <w:szCs w:val="32"/>
        </w:rPr>
      </w:pPr>
      <w:r>
        <w:rPr>
          <w:rFonts w:ascii="Times New Roman" w:eastAsia="方正楷体_GBK" w:cs="宋体" w:hAnsi="Times New Roman" w:hint="eastAsia"/>
          <w:color w:val="000000"/>
          <w:kern w:val="0"/>
          <w:sz w:val="32"/>
          <w:szCs w:val="32"/>
        </w:rPr>
        <w:t>（二）规范依申请公开办理。</w:t>
      </w:r>
      <w:r>
        <w:rPr>
          <w:rFonts w:ascii="Times New Roman" w:eastAsia="方正仿宋_GBK" w:cs="宋体" w:hAnsi="Times New Roman" w:hint="eastAsia"/>
          <w:color w:val="000000"/>
          <w:kern w:val="0"/>
          <w:sz w:val="32"/>
          <w:szCs w:val="32"/>
        </w:rPr>
        <w:t>全年石家庄海关（本级机关）结转上年依申请公开1件，新收到依申请公开</w:t>
      </w:r>
      <w:r>
        <w:rPr>
          <w:rFonts w:ascii="Times New Roman" w:eastAsia="方正仿宋_GBK" w:cs="宋体" w:hAnsi="Times New Roman"/>
          <w:color w:val="000000"/>
          <w:kern w:val="0"/>
          <w:sz w:val="32"/>
          <w:szCs w:val="32"/>
        </w:rPr>
        <w:t>3</w:t>
      </w:r>
      <w:r>
        <w:rPr>
          <w:rFonts w:ascii="Times New Roman" w:eastAsia="方正仿宋_GBK" w:cs="宋体" w:hAnsi="Times New Roman" w:hint="eastAsia"/>
          <w:color w:val="000000"/>
          <w:kern w:val="0"/>
          <w:sz w:val="32"/>
          <w:szCs w:val="32"/>
        </w:rPr>
        <w:t>件，全部在规定时限内答复办结，其中予以公开1件，部分公开1件，申请人主动撤销申请2件。石家庄海关（本级机关）全年未发生政府信息公开行政复议、行政诉讼情况。</w:t>
      </w:r>
      <w:r>
        <w:rPr>
          <w:rFonts w:ascii="Times New Roman" w:eastAsia="方正仿宋_GBK" w:cs="Times New Roman" w:hAnsi="Times New Roman" w:hint="eastAsia"/>
          <w:sz w:val="32"/>
          <w:szCs w:val="32"/>
        </w:rPr>
        <w:t>制作《石家庄海关政府信息公开申请答复书目录》，严格规范依申请公开办理流程和答复模式。专人负责值守总关机关信息公开渠道，对外公开电话随时接听，电邮、信件每日查看，随时关注网站咨询、互动渠道，及时掌握外界对海关政府信息关注需求。</w:t>
      </w:r>
    </w:p>
    <w:p>
      <w:pPr>
        <w:spacing w:line="560" w:lineRule="exact"/>
        <w:ind w:firstLineChars="200" w:firstLine="640"/>
        <w:rPr>
          <w:rFonts w:ascii="Times New Roman" w:eastAsia="方正仿宋_GBK" w:cs="Times New Roman" w:hAnsi="Times New Roman"/>
          <w:sz w:val="32"/>
          <w:szCs w:val="32"/>
        </w:rPr>
      </w:pPr>
      <w:r>
        <w:rPr>
          <w:rFonts w:ascii="Times New Roman" w:eastAsia="方正楷体_GBK" w:cs="宋体" w:hAnsi="Times New Roman" w:hint="eastAsia"/>
          <w:color w:val="000000"/>
          <w:kern w:val="0"/>
          <w:sz w:val="32"/>
          <w:szCs w:val="32"/>
        </w:rPr>
        <w:t>（三）强化政府信息管理。</w:t>
      </w:r>
      <w:r>
        <w:rPr>
          <w:rFonts w:ascii="Times New Roman" w:eastAsia="方正仿宋_GBK" w:cs="Times New Roman" w:hAnsi="Times New Roman" w:hint="eastAsia"/>
          <w:sz w:val="32"/>
          <w:szCs w:val="32"/>
        </w:rPr>
        <w:t>结合工作实际，修订完善《石家庄海关政府信息公开工作规程》和《石家庄海关政府信息公开审查规程》，引入职能处室把关和海关工作人员回避制度，进一步规范政府信息公开</w:t>
      </w:r>
      <w:r>
        <w:rPr>
          <w:rFonts w:ascii="Times New Roman" w:eastAsia="方正仿宋_GBK" w:cs="方正仿宋_GBK" w:hAnsi="Times New Roman" w:hint="eastAsia"/>
          <w:sz w:val="32"/>
          <w:szCs w:val="32"/>
        </w:rPr>
        <w:t>登记、审核、办理、答复、归档等工作要素</w:t>
      </w:r>
      <w:r>
        <w:rPr>
          <w:rFonts w:ascii="Times New Roman" w:eastAsia="方正仿宋_GBK" w:cs="Times New Roman" w:hAnsi="Times New Roman" w:hint="eastAsia"/>
          <w:sz w:val="32"/>
          <w:szCs w:val="32"/>
        </w:rPr>
        <w:t>。根据工作需要，及时更新《石家庄海关政府信息公开指南》，统一公开本级机关、各隶属海关政府信息公开联系方式，切实保障公民对海关政府信息的知情权。</w:t>
      </w:r>
    </w:p>
    <w:p>
      <w:pPr>
        <w:spacing w:line="560" w:lineRule="exact"/>
        <w:ind w:firstLineChars="200" w:firstLine="640"/>
        <w:rPr>
          <w:rFonts w:ascii="Times New Roman" w:eastAsia="方正仿宋_GBK" w:hAnsi="Times New Roman"/>
          <w:sz w:val="32"/>
          <w:szCs w:val="32"/>
        </w:rPr>
      </w:pPr>
      <w:r>
        <w:rPr>
          <w:rFonts w:eastAsia="方正楷体_GBK" w:cs="宋体" w:hint="eastAsia"/>
          <w:color w:val="000000"/>
          <w:sz w:val="32"/>
          <w:szCs w:val="32"/>
        </w:rPr>
        <w:t>（四）优化</w:t>
      </w:r>
      <w:r>
        <w:rPr>
          <w:rFonts w:ascii="Times New Roman" w:eastAsia="方正楷体_GBK" w:cs="Times New Roman" w:hAnsi="Times New Roman" w:hint="eastAsia"/>
          <w:kern w:val="0"/>
          <w:sz w:val="32"/>
          <w:szCs w:val="32"/>
        </w:rPr>
        <w:t>政府信息公开平台。</w:t>
      </w:r>
      <w:r>
        <w:rPr>
          <w:rFonts w:ascii="Times New Roman" w:eastAsia="方正仿宋_GBK" w:cs="Times New Roman" w:hAnsi="Times New Roman" w:hint="eastAsia"/>
          <w:sz w:val="32"/>
          <w:szCs w:val="32"/>
        </w:rPr>
        <w:t>石家庄海关门户网站政府信息公开专栏、政府信息公开专用邮箱、政务新媒体平台、新闻发布会是我关政务公开的主要发布渠道，现已全部开通。其中，门户网站政府信息公开专栏已按照国务院办公厅以及海关总署模版要求，规范完成专栏改版。</w:t>
      </w:r>
      <w:r>
        <w:rPr>
          <w:rFonts w:ascii="Times New Roman" w:eastAsia="方正仿宋_GBK" w:hAnsi="Times New Roman" w:hint="eastAsia"/>
          <w:sz w:val="32"/>
          <w:szCs w:val="32"/>
        </w:rPr>
        <w:t>在门户网站首页增设疫情防控和“六稳”“六保”专栏，实现疫情防控和“六稳”“六保”政策措施公开。在门户网站政府信息公开专栏中增设行政执法公示栏目，推动行政执法事前、事中、事后全链条公开。12360热线全年话务量18410个，受理门户网站业务咨询138件。</w:t>
      </w:r>
    </w:p>
    <w:p>
      <w:pPr>
        <w:pStyle w:val="18"/>
        <w:widowControl w:val="0"/>
        <w:autoSpaceDN w:val="0"/>
        <w:spacing w:line="580" w:lineRule="exact"/>
        <w:ind w:firstLineChars="200" w:firstLine="640"/>
        <w:jc w:val="both"/>
        <w:rPr>
          <w:rFonts w:eastAsia="方正仿宋_GBK"/>
          <w:sz w:val="32"/>
          <w:szCs w:val="32"/>
          <w:lang w:eastAsia="zh-CN"/>
        </w:rPr>
      </w:pPr>
      <w:r>
        <w:rPr>
          <w:rFonts w:eastAsia="方正楷体_GBK" w:cs="宋体" w:hint="eastAsia"/>
          <w:color w:val="000000"/>
          <w:sz w:val="32"/>
          <w:szCs w:val="32"/>
          <w:lang w:eastAsia="zh-CN"/>
        </w:rPr>
        <w:t>（五）落实监督保障措施。</w:t>
      </w:r>
      <w:r>
        <w:rPr>
          <w:rFonts w:eastAsia="方正仿宋_GBK" w:hint="eastAsia"/>
          <w:sz w:val="32"/>
          <w:szCs w:val="32"/>
          <w:lang w:eastAsia="zh-CN"/>
        </w:rPr>
        <w:t>组织石家庄海关新闻舆论与政务公开培训班，就政府信息公开理论梳理、实操训练和典型案例进行专题培训，提升政务公开工作人员业务技能。联合公职律师、法律专业人员，针对政府信息公开事项尤其是依申请公开信息中涉及的法律审查要素进行法律把关，推动石家庄海关政府信息公开工作依法依规。吸纳关区业务骨干，组成12360热线后台专家团队，对海关业务咨询的重点、难点问题进行专业指导。</w:t>
      </w:r>
    </w:p>
    <w:p>
      <w:pPr>
        <w:pStyle w:val="19"/>
        <w:widowControl w:val="0"/>
        <w:autoSpaceDN w:val="0"/>
        <w:spacing w:line="580" w:lineRule="exact"/>
        <w:ind w:firstLineChars="200" w:firstLine="640"/>
        <w:jc w:val="both"/>
        <w:rPr>
          <w:rFonts w:eastAsia="方正黑体_GBK" w:cs="宋体"/>
          <w:color w:val="000000"/>
          <w:sz w:val="32"/>
          <w:szCs w:val="32"/>
          <w:lang w:eastAsia="zh-CN"/>
        </w:rPr>
      </w:pPr>
      <w:r>
        <w:rPr>
          <w:rFonts w:eastAsia="方正黑体_GBK" w:cs="宋体" w:hint="eastAsia"/>
          <w:color w:val="000000"/>
          <w:sz w:val="32"/>
          <w:szCs w:val="32"/>
          <w:lang w:eastAsia="zh-CN"/>
        </w:rPr>
        <w:t>二、主动公开政府信息情况</w:t>
      </w:r>
    </w:p>
    <w:tbl>
      <w:tblPr>
        <w:jc w:val="center"/>
        <w:tblW w:w="8995"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第二十条第（一）项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本年新</w:t>
            </w:r>
            <w:r>
              <w:rPr>
                <w:rFonts w:hint="eastAsia"/>
                <w:kern w:val="0"/>
                <w:sz w:val="24"/>
                <w:szCs w:val="24"/>
              </w:rPr>
              <w:t>制作数量</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本年新</w:t>
            </w:r>
            <w:r>
              <w:rPr>
                <w:rFonts w:hint="eastAsia"/>
                <w:kern w:val="0"/>
                <w:sz w:val="24"/>
                <w:szCs w:val="24"/>
              </w:rPr>
              <w:t>公开数量</w:t>
            </w:r>
          </w:p>
        </w:tc>
        <w:tc>
          <w:tcPr>
            <w:tcW w:w="2156" w:type="dxa"/>
            <w:tcBorders>
              <w:top w:val="nil"/>
              <w:left w:val="nil"/>
              <w:bottom w:val="single" w:sz="8" w:space="0" w:color="auto"/>
              <w:right w:val="single" w:sz="8" w:space="0" w:color="auto"/>
            </w:tcBorders>
            <w:shd w:val="clear" w:color="auto" w:fill="auto"/>
            <w:vAlign w:val="center"/>
          </w:tcPr>
          <w:p>
            <w:pPr>
              <w:pStyle w:val="21"/>
              <w:widowControl/>
              <w:autoSpaceDN w:val="0"/>
              <w:jc w:val="center"/>
              <w:rPr>
                <w:sz w:val="24"/>
                <w:szCs w:val="24"/>
              </w:rPr>
            </w:pPr>
            <w:r>
              <w:rPr>
                <w:rFonts w:ascii="宋体" w:cs="宋体" w:hint="eastAsia"/>
                <w:kern w:val="0"/>
                <w:sz w:val="24"/>
                <w:szCs w:val="24"/>
              </w:rPr>
              <w:t>对外公开总数量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left"/>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left"/>
              <w:rPr>
                <w:sz w:val="24"/>
                <w:szCs w:val="24"/>
              </w:rPr>
            </w:pPr>
            <w:r>
              <w:rPr>
                <w:rFonts w:ascii="宋体" w:cs="宋体" w:hint="eastAsia"/>
                <w:kern w:val="0"/>
                <w:sz w:val="24"/>
                <w:szCs w:val="24"/>
              </w:rPr>
              <w:t>规范性文件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2</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2</w:t>
            </w:r>
          </w:p>
        </w:tc>
        <w:tc>
          <w:tcPr>
            <w:tcW w:w="2156"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8</w:t>
            </w:r>
          </w:p>
        </w:tc>
      </w:tr>
      <w:tr>
        <w:trPr>
          <w:trHeight w:val="435"/>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第二十条第（五）项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本年项目数量</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相比上年增/减</w:t>
            </w:r>
          </w:p>
        </w:tc>
        <w:tc>
          <w:tcPr>
            <w:tcW w:w="2156" w:type="dxa"/>
            <w:tcBorders>
              <w:top w:val="nil"/>
              <w:left w:val="nil"/>
              <w:bottom w:val="single" w:sz="8" w:space="0" w:color="auto"/>
              <w:right w:val="single" w:sz="8" w:space="0" w:color="auto"/>
            </w:tcBorders>
            <w:shd w:val="clear" w:color="auto" w:fill="auto"/>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处理决定数量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left"/>
              <w:rPr>
                <w:sz w:val="24"/>
                <w:szCs w:val="24"/>
              </w:rPr>
            </w:pPr>
            <w:r>
              <w:rPr>
                <w:rFonts w:ascii="宋体" w:cs="宋体" w:hint="eastAsia"/>
                <w:kern w:val="0"/>
                <w:sz w:val="24"/>
                <w:szCs w:val="24"/>
              </w:rPr>
              <w:t>行政许可</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sz w:val="24"/>
                <w:szCs w:val="24"/>
              </w:rPr>
              <w:t>8</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cs="宋体"/>
                <w:sz w:val="24"/>
                <w:szCs w:val="24"/>
              </w:rPr>
            </w:pPr>
            <w:r>
              <w:rPr>
                <w:rFonts w:eastAsia="方正仿宋_GBK" w:cs="宋体"/>
                <w:sz w:val="24"/>
                <w:szCs w:val="24"/>
              </w:rPr>
              <w:t>1930</w:t>
            </w:r>
          </w:p>
        </w:tc>
      </w:tr>
      <w:tr>
        <w:trPr>
          <w:trHeight w:val="406"/>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第二十条第（六）项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本年项目数量</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相比上年增/减</w:t>
            </w:r>
          </w:p>
        </w:tc>
        <w:tc>
          <w:tcPr>
            <w:tcW w:w="2156" w:type="dxa"/>
            <w:tcBorders>
              <w:top w:val="nil"/>
              <w:left w:val="nil"/>
              <w:bottom w:val="single" w:sz="8" w:space="0" w:color="auto"/>
              <w:right w:val="single" w:sz="8" w:space="0" w:color="auto"/>
            </w:tcBorders>
            <w:shd w:val="clear" w:color="auto" w:fill="auto"/>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处理决定数量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left"/>
              <w:rPr>
                <w:sz w:val="24"/>
                <w:szCs w:val="24"/>
              </w:rPr>
            </w:pPr>
            <w:r>
              <w:rPr>
                <w:rFonts w:ascii="宋体" w:cs="宋体" w:hint="eastAsia"/>
                <w:kern w:val="0"/>
                <w:sz w:val="24"/>
                <w:szCs w:val="24"/>
              </w:rPr>
              <w:t>行政处罚</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7</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cs="宋体"/>
                <w:sz w:val="24"/>
                <w:szCs w:val="24"/>
              </w:rPr>
            </w:pPr>
            <w:r>
              <w:rPr>
                <w:rFonts w:eastAsia="方正仿宋_GBK" w:cs="宋体" w:hint="eastAsia"/>
                <w:sz w:val="24"/>
                <w:szCs w:val="24"/>
              </w:rPr>
              <w:t>40</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left"/>
              <w:rPr>
                <w:sz w:val="24"/>
                <w:szCs w:val="24"/>
              </w:rPr>
            </w:pPr>
            <w:r>
              <w:rPr>
                <w:rFonts w:ascii="宋体" w:cs="宋体" w:hint="eastAsia"/>
                <w:kern w:val="0"/>
                <w:sz w:val="24"/>
                <w:szCs w:val="24"/>
              </w:rPr>
              <w:t>行政强制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16</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cs="宋体"/>
                <w:sz w:val="24"/>
                <w:szCs w:val="24"/>
              </w:rPr>
            </w:pPr>
            <w:r>
              <w:rPr>
                <w:rFonts w:eastAsia="方正仿宋_GBK" w:cs="宋体" w:hint="eastAsia"/>
                <w:sz w:val="24"/>
                <w:szCs w:val="24"/>
              </w:rPr>
              <w:t>3</w:t>
            </w:r>
          </w:p>
        </w:tc>
      </w:tr>
      <w:tr>
        <w:trPr>
          <w:trHeight w:val="474"/>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第二十条第（八）项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本年项目数量</w:t>
            </w:r>
          </w:p>
        </w:tc>
        <w:tc>
          <w:tcPr>
            <w:tcW w:w="4092" w:type="dxa"/>
            <w:gridSpan w:val="2"/>
            <w:tcBorders>
              <w:top w:val="single" w:sz="8" w:space="0" w:color="auto"/>
              <w:left w:val="nil"/>
              <w:bottom w:val="single" w:sz="8" w:space="0" w:color="auto"/>
              <w:right w:val="single" w:sz="8" w:space="0" w:color="000000"/>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相比上年增/减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left"/>
            </w:pPr>
            <w:r>
              <w:rPr>
                <w:rFonts w:ascii="宋体" w:cs="宋体" w:hint="eastAsia"/>
                <w:kern w:val="0"/>
                <w:sz w:val="24"/>
                <w:szCs w:val="24"/>
              </w:rPr>
              <w:t>行政事业性收费</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0</w:t>
            </w:r>
          </w:p>
        </w:tc>
        <w:tc>
          <w:tcPr>
            <w:tcW w:w="4092" w:type="dxa"/>
            <w:gridSpan w:val="2"/>
            <w:tcBorders>
              <w:top w:val="nil"/>
              <w:left w:val="nil"/>
              <w:bottom w:val="single" w:sz="8" w:space="0" w:color="auto"/>
              <w:right w:val="single" w:sz="8" w:space="0" w:color="000000"/>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0</w:t>
            </w:r>
          </w:p>
        </w:tc>
      </w:tr>
      <w:tr>
        <w:trPr>
          <w:trHeight w:val="476"/>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第二十条第（九）项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采购项目数量</w:t>
            </w:r>
          </w:p>
        </w:tc>
        <w:tc>
          <w:tcPr>
            <w:tcW w:w="4092" w:type="dxa"/>
            <w:gridSpan w:val="2"/>
            <w:tcBorders>
              <w:top w:val="single" w:sz="8" w:space="0" w:color="auto"/>
              <w:left w:val="nil"/>
              <w:bottom w:val="single" w:sz="8" w:space="0" w:color="auto"/>
              <w:right w:val="single" w:sz="8" w:space="0" w:color="000000"/>
            </w:tcBorders>
            <w:shd w:val="clear" w:color="auto" w:fill="auto"/>
            <w:tcMar>
              <w:left w:w="108" w:type="dxa"/>
              <w:right w:w="108" w:type="dxa"/>
            </w:tcMar>
            <w:vAlign w:val="center"/>
          </w:tcPr>
          <w:p>
            <w:pPr>
              <w:pStyle w:val="21"/>
              <w:widowControl/>
              <w:autoSpaceDN w:val="0"/>
              <w:adjustRightInd w:val="0"/>
              <w:snapToGrid w:val="0"/>
              <w:spacing w:line="260" w:lineRule="exact"/>
              <w:jc w:val="center"/>
              <w:rPr>
                <w:sz w:val="24"/>
                <w:szCs w:val="24"/>
              </w:rPr>
            </w:pPr>
            <w:r>
              <w:rPr>
                <w:rFonts w:ascii="宋体" w:cs="宋体" w:hint="eastAsia"/>
                <w:kern w:val="0"/>
                <w:sz w:val="24"/>
                <w:szCs w:val="24"/>
              </w:rPr>
              <w:t>采购总金额（万元）</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adjustRightInd w:val="0"/>
              <w:snapToGrid w:val="0"/>
              <w:spacing w:line="260" w:lineRule="exact"/>
              <w:jc w:val="left"/>
              <w:rPr>
                <w:sz w:val="24"/>
                <w:szCs w:val="24"/>
                <w:highlight w:val="yellow"/>
              </w:rPr>
            </w:pPr>
            <w:r>
              <w:rPr>
                <w:rFonts w:ascii="宋体" w:cs="宋体" w:hint="eastAsia"/>
                <w:kern w:val="0"/>
                <w:sz w:val="24"/>
                <w:szCs w:val="24"/>
              </w:rPr>
              <w:t>政府集中采购</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7</w:t>
            </w:r>
          </w:p>
        </w:tc>
        <w:tc>
          <w:tcPr>
            <w:tcW w:w="4092" w:type="dxa"/>
            <w:gridSpan w:val="2"/>
            <w:tcBorders>
              <w:top w:val="nil"/>
              <w:left w:val="nil"/>
              <w:bottom w:val="single" w:sz="8" w:space="0" w:color="auto"/>
              <w:right w:val="single" w:sz="8" w:space="0" w:color="000000"/>
            </w:tcBorders>
            <w:shd w:val="clear" w:color="auto" w:fill="auto"/>
            <w:tcMar>
              <w:left w:w="108" w:type="dxa"/>
              <w:right w:w="108" w:type="dxa"/>
            </w:tcMar>
            <w:vAlign w:val="center"/>
          </w:tcPr>
          <w:p>
            <w:pPr>
              <w:pStyle w:val="21"/>
              <w:autoSpaceDN w:val="0"/>
              <w:jc w:val="center"/>
              <w:rPr>
                <w:rFonts w:eastAsia="方正仿宋_GBK" w:cs="宋体"/>
                <w:sz w:val="24"/>
                <w:szCs w:val="24"/>
              </w:rPr>
            </w:pPr>
            <w:r>
              <w:rPr>
                <w:rFonts w:eastAsia="方正仿宋_GBK" w:cs="宋体" w:hint="eastAsia"/>
                <w:sz w:val="24"/>
                <w:szCs w:val="24"/>
              </w:rPr>
              <w:t>258.87</w:t>
            </w:r>
          </w:p>
        </w:tc>
      </w:tr>
    </w:tbl>
    <w:p>
      <w:pPr>
        <w:pStyle w:val="16"/>
        <w:tabs>
          <w:tab w:val="center" w:pos="4153"/>
          <w:tab w:val="right" w:pos="8306"/>
        </w:tabs>
        <w:autoSpaceDN w:val="0"/>
        <w:rPr>
          <w:rFonts w:ascii="Times New Roman" w:eastAsia="方正仿宋_GBK" w:cs="Times New Roman" w:hAnsi="Times New Roman"/>
        </w:rPr>
      </w:pPr>
    </w:p>
    <w:p>
      <w:pPr>
        <w:pStyle w:val="20"/>
        <w:widowControl/>
        <w:shd w:val="clear" w:color="auto" w:fill="FFFFFF"/>
        <w:autoSpaceDN w:val="0"/>
        <w:adjustRightInd w:val="0"/>
        <w:snapToGrid w:val="0"/>
        <w:spacing w:before="0" w:beforeAutospacing="0" w:afterLines="50" w:after="156"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9"/>
        <w:gridCol w:w="493"/>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cBorders>
            <w:vAlign w:val="center"/>
          </w:tcPr>
          <w:p/>
        </w:tc>
        <w:tc>
          <w:tcPr>
            <w:tcW w:w="635"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cBorders>
            <w:vAlign w:val="center"/>
          </w:tcPr>
          <w:p/>
        </w:tc>
        <w:tc>
          <w:tcPr>
            <w:tcW w:w="635" w:type="dxa"/>
            <w:vMerge/>
            <w:tcBorders>
              <w:top w:val="nil"/>
              <w:left w:val="nil"/>
              <w:bottom w:val="single" w:sz="8" w:space="0" w:color="auto"/>
              <w:right w:val="single" w:sz="8" w:space="0" w:color="auto"/>
            </w:tcBorders>
            <w:vAlign w:val="center"/>
          </w:tcP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社会公益组织</w:t>
            </w:r>
          </w:p>
        </w:tc>
        <w:tc>
          <w:tcPr>
            <w:tcW w:w="769"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法律服务机构</w:t>
            </w:r>
          </w:p>
        </w:tc>
        <w:tc>
          <w:tcPr>
            <w:tcW w:w="49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21"/>
              <w:widowControl/>
              <w:autoSpaceDN w:val="0"/>
              <w:spacing w:after="180"/>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3</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3</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21"/>
              <w:widowControl/>
              <w:autoSpaceDN w:val="0"/>
              <w:spacing w:after="180"/>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1</w:t>
            </w:r>
          </w:p>
        </w:tc>
      </w:tr>
      <w:tr>
        <w:tc>
          <w:tcPr>
            <w:tcW w:w="696"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1</w:t>
            </w:r>
          </w:p>
        </w:tc>
      </w:tr>
      <w:tr>
        <w:tc>
          <w:tcPr>
            <w:tcW w:w="696" w:type="dxa"/>
            <w:vMerge/>
            <w:tcBorders>
              <w:top w:val="nil"/>
              <w:left w:val="single" w:sz="8" w:space="0" w:color="auto"/>
              <w:bottom w:val="single" w:sz="8" w:space="0" w:color="auto"/>
              <w:right w:val="single" w:sz="8" w:space="0" w:color="auto"/>
            </w:tcBorders>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1</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rPr>
          <w:trHeight w:val="810"/>
        </w:trP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21"/>
              <w:widowControl/>
              <w:autoSpaceDN w:val="0"/>
              <w:rPr>
                <w:rFonts w:ascii="楷体" w:eastAsia="楷体" w:cs="楷体"/>
                <w:kern w:val="0"/>
                <w:sz w:val="24"/>
                <w:szCs w:val="24"/>
              </w:rPr>
            </w:pPr>
            <w:r>
              <w:rPr>
                <w:rFonts w:ascii="楷体" w:eastAsia="楷体" w:cs="楷体" w:hint="eastAsia"/>
                <w:kern w:val="0"/>
                <w:sz w:val="24"/>
                <w:szCs w:val="24"/>
              </w:rPr>
              <w:t>1.申请人撤销申请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2</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2</w:t>
            </w:r>
          </w:p>
        </w:tc>
      </w:tr>
      <w:tr>
        <w:trPr>
          <w:trHeight w:val="567"/>
        </w:trP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21"/>
              <w:widowControl/>
              <w:autoSpaceDN w:val="0"/>
              <w:rPr>
                <w:rFonts w:ascii="楷体" w:eastAsia="楷体" w:cs="楷体"/>
                <w:kern w:val="0"/>
                <w:sz w:val="24"/>
                <w:szCs w:val="24"/>
              </w:rPr>
            </w:pPr>
            <w:r>
              <w:rPr>
                <w:rFonts w:ascii="楷体" w:eastAsia="楷体" w:cs="楷体" w:hint="eastAsia"/>
                <w:kern w:val="0"/>
                <w:sz w:val="24"/>
                <w:szCs w:val="24"/>
              </w:rPr>
              <w:t>2.咨询事项，指引咨询渠道</w:t>
            </w:r>
          </w:p>
        </w:tc>
        <w:tc>
          <w:tcPr>
            <w:tcW w:w="635"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vAlign w:val="center"/>
          </w:tcPr>
          <w:p/>
        </w:tc>
        <w:tc>
          <w:tcPr>
            <w:tcW w:w="936" w:type="dxa"/>
            <w:vMerge/>
            <w:tcBorders>
              <w:top w:val="nil"/>
              <w:left w:val="nil"/>
              <w:bottom w:val="single" w:sz="8" w:space="0" w:color="auto"/>
              <w:right w:val="single" w:sz="8" w:space="0" w:color="auto"/>
            </w:tcBorders>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21"/>
              <w:widowControl/>
              <w:autoSpaceDN w:val="0"/>
              <w:rPr>
                <w:rFonts w:ascii="楷体" w:eastAsia="楷体" w:cs="楷体"/>
                <w:kern w:val="0"/>
                <w:sz w:val="24"/>
                <w:szCs w:val="24"/>
              </w:rPr>
            </w:pPr>
            <w:r>
              <w:rPr>
                <w:rFonts w:ascii="楷体" w:eastAsia="楷体" w:cs="楷体" w:hint="eastAsia"/>
                <w:kern w:val="0"/>
                <w:sz w:val="24"/>
                <w:szCs w:val="24"/>
              </w:rPr>
              <w:t>3.逾期未补正</w:t>
            </w:r>
          </w:p>
        </w:tc>
        <w:tc>
          <w:tcPr>
            <w:tcW w:w="635"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21"/>
              <w:autoSpaceDN w:val="0"/>
              <w:jc w:val="center"/>
              <w:rPr>
                <w:rFonts w:eastAsia="方正仿宋_GBK"/>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4</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4</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769"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49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autoSpaceDN w:val="0"/>
              <w:jc w:val="center"/>
              <w:rPr>
                <w:rFonts w:eastAsia="方正仿宋_GBK"/>
                <w:sz w:val="24"/>
                <w:szCs w:val="24"/>
              </w:rPr>
            </w:pPr>
            <w:r>
              <w:rPr>
                <w:rFonts w:eastAsia="方正仿宋_GBK" w:hint="eastAsia"/>
                <w:sz w:val="24"/>
                <w:szCs w:val="24"/>
              </w:rPr>
              <w:t>0</w:t>
            </w:r>
          </w:p>
        </w:tc>
      </w:tr>
    </w:tbl>
    <w:p>
      <w:pPr>
        <w:pStyle w:val="20"/>
        <w:widowControl/>
        <w:shd w:val="clear" w:color="auto" w:fill="FFFFFF"/>
        <w:autoSpaceDN w:val="0"/>
        <w:spacing w:beforeLines="50" w:before="156" w:beforeAutospacing="0" w:after="120" w:afterAutospacing="0"/>
        <w:ind w:firstLineChars="200" w:firstLine="640"/>
        <w:jc w:val="both"/>
        <w:rPr>
          <w:rFonts w:ascii="宋体" w:cs="宋体"/>
          <w:szCs w:val="24"/>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复议后起诉</w:t>
            </w:r>
          </w:p>
        </w:tc>
      </w:tr>
      <w:tr>
        <w:tc>
          <w:tcPr>
            <w:tcW w:w="3074" w:type="dxa"/>
            <w:vMerge/>
            <w:tcBorders>
              <w:top w:val="nil"/>
              <w:left w:val="single" w:sz="8" w:space="0" w:color="auto"/>
              <w:bottom w:val="single" w:sz="8" w:space="0" w:color="auto"/>
              <w:right w:val="single" w:sz="8" w:space="0" w:color="auto"/>
            </w:tcBorders>
            <w:vAlign w:val="center"/>
          </w:tcPr>
          <w:p/>
        </w:tc>
        <w:tc>
          <w:tcPr>
            <w:tcW w:w="604" w:type="dxa"/>
            <w:vMerge/>
            <w:tcBorders>
              <w:top w:val="nil"/>
              <w:left w:val="nil"/>
              <w:bottom w:val="single" w:sz="8" w:space="0" w:color="auto"/>
              <w:right w:val="single" w:sz="8" w:space="0" w:color="auto"/>
            </w:tcBorders>
            <w:vAlign w:val="center"/>
          </w:tcPr>
          <w:p/>
        </w:tc>
        <w:tc>
          <w:tcPr>
            <w:tcW w:w="604" w:type="dxa"/>
            <w:vMerge/>
            <w:tcBorders>
              <w:top w:val="single" w:sz="8" w:space="0" w:color="auto"/>
              <w:left w:val="nil"/>
              <w:bottom w:val="single" w:sz="8" w:space="0" w:color="auto"/>
              <w:right w:val="single" w:sz="8" w:space="0" w:color="auto"/>
            </w:tcBorders>
            <w:vAlign w:val="center"/>
          </w:tcPr>
          <w:p/>
        </w:tc>
        <w:tc>
          <w:tcPr>
            <w:tcW w:w="604" w:type="dxa"/>
            <w:vMerge/>
            <w:tcBorders>
              <w:top w:val="single" w:sz="8" w:space="0" w:color="auto"/>
              <w:left w:val="nil"/>
              <w:bottom w:val="single" w:sz="8" w:space="0" w:color="auto"/>
              <w:right w:val="single" w:sz="8" w:space="0" w:color="auto"/>
            </w:tcBorders>
            <w:vAlign w:val="center"/>
          </w:tcPr>
          <w:p/>
        </w:tc>
        <w:tc>
          <w:tcPr>
            <w:tcW w:w="658" w:type="dxa"/>
            <w:vMerge/>
            <w:tcBorders>
              <w:top w:val="single" w:sz="8" w:space="0" w:color="auto"/>
              <w:left w:val="nil"/>
              <w:bottom w:val="single" w:sz="8" w:space="0" w:color="auto"/>
              <w:right w:val="single" w:sz="8" w:space="0" w:color="auto"/>
            </w:tcBorders>
            <w:vAlign w:val="center"/>
          </w:tcP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jc w:val="center"/>
              <w:rPr>
                <w:sz w:val="24"/>
                <w:szCs w:val="24"/>
              </w:rPr>
            </w:pPr>
            <w:r>
              <w:rPr>
                <w:rFonts w:ascii="宋体" w:cs="宋体" w:hint="eastAsia"/>
                <w:kern w:val="0"/>
                <w:sz w:val="24"/>
                <w:szCs w:val="24"/>
              </w:rPr>
              <w:t>总计</w:t>
            </w:r>
          </w:p>
        </w:tc>
      </w:tr>
      <w:t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sz w:val="28"/>
                <w:szCs w:val="28"/>
              </w:rPr>
            </w:pPr>
            <w:r>
              <w:rPr>
                <w:rFonts w:hint="eastAsia"/>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kern w:val="0"/>
                <w:sz w:val="28"/>
                <w:szCs w:val="28"/>
              </w:rPr>
            </w:pPr>
            <w:r>
              <w:rPr>
                <w:rFonts w:hint="eastAsia"/>
                <w:kern w:val="0"/>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1"/>
              <w:widowControl/>
              <w:autoSpaceDN w:val="0"/>
              <w:spacing w:after="180"/>
              <w:jc w:val="center"/>
              <w:rPr>
                <w:kern w:val="0"/>
                <w:sz w:val="28"/>
                <w:szCs w:val="28"/>
              </w:rPr>
            </w:pPr>
            <w:r>
              <w:rPr>
                <w:rFonts w:hint="eastAsia"/>
                <w:kern w:val="0"/>
                <w:sz w:val="28"/>
                <w:szCs w:val="28"/>
              </w:rPr>
              <w:t>0</w:t>
            </w:r>
          </w:p>
        </w:tc>
      </w:tr>
    </w:tbl>
    <w:p>
      <w:pPr>
        <w:pStyle w:val="17"/>
        <w:spacing w:line="560" w:lineRule="exact"/>
        <w:ind w:firstLineChars="200" w:firstLine="640"/>
        <w:rPr>
          <w:rFonts w:ascii="方正黑体_GBK" w:eastAsia="方正黑体_GBK" w:cs="宋体"/>
          <w:color w:val="000000"/>
          <w:kern w:val="0"/>
          <w:sz w:val="32"/>
          <w:szCs w:val="32"/>
        </w:rPr>
      </w:pPr>
      <w:r>
        <w:rPr>
          <w:rFonts w:ascii="方正黑体_GBK" w:eastAsia="方正黑体_GBK" w:cs="宋体" w:hint="eastAsia"/>
          <w:color w:val="000000"/>
          <w:kern w:val="0"/>
          <w:sz w:val="32"/>
          <w:szCs w:val="32"/>
        </w:rPr>
        <w:t>五、存在的主要问题及改进方向</w:t>
      </w:r>
    </w:p>
    <w:p>
      <w:pPr>
        <w:spacing w:line="560" w:lineRule="exact"/>
        <w:ind w:firstLineChars="200" w:firstLine="640"/>
        <w:rPr>
          <w:rFonts w:ascii="方正仿宋_GBK" w:eastAsia="方正仿宋_GBK" w:cs="方正仿宋_GBK"/>
          <w:sz w:val="32"/>
          <w:szCs w:val="32"/>
        </w:rPr>
      </w:pPr>
      <w:r>
        <w:rPr>
          <w:rFonts w:ascii="方正楷体_GBK" w:eastAsia="方正楷体_GBK" w:cs="宋体" w:hint="eastAsia"/>
          <w:color w:val="000000"/>
          <w:kern w:val="0"/>
          <w:sz w:val="32"/>
          <w:szCs w:val="32"/>
        </w:rPr>
        <w:t>（一）上年度存在主要问题的整改情况。</w:t>
      </w:r>
      <w:r>
        <w:rPr>
          <w:rFonts w:ascii="Times New Roman" w:eastAsia="方正仿宋_GBK" w:cs="Times New Roman" w:hAnsi="Times New Roman" w:hint="eastAsia"/>
          <w:sz w:val="32"/>
          <w:szCs w:val="32"/>
        </w:rPr>
        <w:t>上年度我关政府信息公开工作主要存在政策解读状况待深化、12360热线</w:t>
      </w:r>
      <w:r>
        <w:rPr>
          <w:rFonts w:ascii="Times New Roman" w:eastAsia="方正仿宋_GBK" w:cs="Times New Roman" w:hAnsi="Times New Roman"/>
          <w:sz w:val="32"/>
          <w:szCs w:val="32"/>
        </w:rPr>
        <w:t>新媒体</w:t>
      </w:r>
      <w:r>
        <w:rPr>
          <w:rFonts w:ascii="Times New Roman" w:eastAsia="方正仿宋_GBK" w:cs="Times New Roman" w:hAnsi="Times New Roman" w:hint="eastAsia"/>
          <w:sz w:val="32"/>
          <w:szCs w:val="32"/>
        </w:rPr>
        <w:t>有提升空间、政府信息公开审查制度待完善等问题。上述问题在2020年均已完成整改：一是制发石家庄海关2020年工作要点，对全年工作任务进行细化分解，明确责任部门，制定具体任务目标，并对半年、年终任务完成情况进行催办检查，全年共在</w:t>
      </w:r>
      <w:r>
        <w:rPr>
          <w:rFonts w:ascii="Times New Roman" w:eastAsia="方正仿宋_GBK" w:cs="Times New Roman" w:hAnsi="Times New Roman"/>
          <w:sz w:val="32"/>
          <w:szCs w:val="32"/>
        </w:rPr>
        <w:t>互联网</w:t>
      </w:r>
      <w:r>
        <w:rPr>
          <w:rFonts w:ascii="Times New Roman" w:eastAsia="方正仿宋_GBK" w:cs="Times New Roman" w:hAnsi="Times New Roman" w:hint="eastAsia"/>
          <w:sz w:val="32"/>
          <w:szCs w:val="32"/>
        </w:rPr>
        <w:t>门户网站、政务新媒体发布政策解读13篇。二是开通政府信息公开专用邮箱，完善政府信息公开信息渠道，确保政府信息公开申请电话畅通有效。三是针对我关12360热线</w:t>
      </w:r>
      <w:r>
        <w:rPr>
          <w:rFonts w:ascii="Times New Roman" w:eastAsia="方正仿宋_GBK" w:cs="Times New Roman" w:hAnsi="Times New Roman"/>
          <w:sz w:val="32"/>
          <w:szCs w:val="32"/>
        </w:rPr>
        <w:t>新媒体</w:t>
      </w:r>
      <w:r>
        <w:rPr>
          <w:rFonts w:ascii="Times New Roman" w:eastAsia="方正仿宋_GBK" w:cs="Times New Roman" w:hAnsi="Times New Roman" w:hint="eastAsia"/>
          <w:sz w:val="32"/>
          <w:szCs w:val="32"/>
        </w:rPr>
        <w:t>薄弱环节，积极向</w:t>
      </w:r>
      <w:r>
        <w:rPr>
          <w:rFonts w:ascii="Times New Roman" w:eastAsia="方正仿宋_GBK" w:cs="Times New Roman" w:hAnsi="Times New Roman"/>
          <w:sz w:val="32"/>
          <w:szCs w:val="32"/>
        </w:rPr>
        <w:t>海关</w:t>
      </w:r>
      <w:r>
        <w:rPr>
          <w:rFonts w:ascii="Times New Roman" w:eastAsia="方正仿宋_GBK" w:cs="Times New Roman" w:hAnsi="Times New Roman" w:hint="eastAsia"/>
          <w:sz w:val="32"/>
          <w:szCs w:val="32"/>
        </w:rPr>
        <w:t>总署“12360海关热线”公众号投稿，圆满完成了任务。四是修订完善《石家庄海关政府信息公开工作规程》和《石家庄海关政府信息公开审查规程》，进一步完善政府信息公开</w:t>
      </w:r>
      <w:r>
        <w:rPr>
          <w:rFonts w:ascii="方正仿宋_GBK" w:eastAsia="方正仿宋_GBK" w:cs="方正仿宋_GBK" w:hint="eastAsia"/>
          <w:sz w:val="32"/>
          <w:szCs w:val="32"/>
        </w:rPr>
        <w:t>登记、审核、办理、答复、归档等工作要素。</w:t>
      </w:r>
    </w:p>
    <w:p>
      <w:pPr>
        <w:spacing w:line="560" w:lineRule="exact"/>
        <w:ind w:firstLineChars="200" w:firstLine="640"/>
        <w:rPr>
          <w:rFonts w:ascii="Times New Roman" w:eastAsia="方正仿宋_GBK" w:cs="Times New Roman" w:hAnsi="Times New Roman"/>
          <w:sz w:val="32"/>
          <w:szCs w:val="32"/>
        </w:rPr>
      </w:pPr>
      <w:r>
        <w:rPr>
          <w:rFonts w:ascii="方正楷体_GBK" w:eastAsia="方正楷体_GBK" w:cs="方正仿宋_GBK" w:hint="eastAsia"/>
          <w:sz w:val="32"/>
          <w:szCs w:val="32"/>
        </w:rPr>
        <w:t>（二）待改进问题。</w:t>
      </w:r>
      <w:r>
        <w:rPr>
          <w:rFonts w:ascii="方正仿宋_GBK" w:eastAsia="方正仿宋_GBK" w:cs="宋体" w:hint="eastAsia"/>
          <w:color w:val="000000"/>
          <w:kern w:val="0"/>
          <w:sz w:val="32"/>
          <w:szCs w:val="32"/>
        </w:rPr>
        <w:t>一是推动落实政府信息公开相关制度的力度仍需加大，配套措施、工作抓手需尽快制定并落实，进一步推动本级机关信息公开的主动性、规范性。二是政府信息公开的形式创新仍显不足，海关业务指导类、政策解读类新媒体信息制作力量仍需提升。</w:t>
      </w:r>
    </w:p>
    <w:p>
      <w:pPr>
        <w:pStyle w:val="17"/>
        <w:spacing w:line="560" w:lineRule="exact"/>
        <w:ind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六、其他需要报告的事项</w:t>
      </w:r>
    </w:p>
    <w:p>
      <w:pPr>
        <w:pStyle w:val="17"/>
        <w:spacing w:line="560" w:lineRule="exact"/>
        <w:ind w:firstLine="640"/>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无</w:t>
      </w:r>
      <w:r>
        <w:rPr>
          <w:rFonts w:ascii="Times New Roman" w:eastAsia="方正仿宋_GBK" w:cs="Times New Roman" w:hAnsi="Times New Roman"/>
          <w:color w:val="000000"/>
          <w:kern w:val="0"/>
          <w:sz w:val="32"/>
          <w:szCs w:val="32"/>
        </w:rPr>
        <w:t>。</w:t>
      </w:r>
    </w:p>
    <w:p>
      <w:pPr>
        <w:pStyle w:val="17"/>
        <w:spacing w:line="560" w:lineRule="exact"/>
        <w:ind w:firstLine="640"/>
        <w:rPr>
          <w:rFonts w:ascii="Times New Roman" w:eastAsia="方正仿宋_GBK" w:cs="Times New Roman" w:hAnsi="Times New Roman"/>
          <w:color w:val="000000"/>
          <w:kern w:val="0"/>
          <w:sz w:val="32"/>
          <w:szCs w:val="32"/>
        </w:rPr>
      </w:pPr>
    </w:p>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86"/>
    <w:family w:val="auto"/>
    <w:pitch w:val="variable"/>
    <w:sig w:usb0="00000001" w:usb1="080E0000" w:usb2="00000000" w:usb3="00000000" w:csb0="00040000" w:csb1="00000000"/>
  </w:font>
  <w:font w:name="楷体">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customStyle="1" w:styleId="17">
    <w:name w:val="样式 10 磅"/>
    <w:pPr>
      <w:widowControl w:val="0"/>
      <w:jc w:val="both"/>
    </w:pPr>
    <w:rPr>
      <w:rFonts w:ascii="Calibri" w:eastAsia="宋体" w:cs="Calibri" w:hAnsi="Calibri"/>
      <w:kern w:val="2"/>
      <w:sz w:val="21"/>
      <w:szCs w:val="21"/>
      <w:lang w:val="en-US" w:eastAsia="zh-CN" w:bidi="ar-SA"/>
    </w:rPr>
  </w:style>
  <w:style w:type="paragraph" w:customStyle="1" w:styleId="18">
    <w:name w:val="样式 11 小四"/>
    <w:rPr>
      <w:rFonts w:ascii="Times New Roman" w:eastAsia="宋体" w:cs="Times New Roman" w:hAnsi="Times New Roman"/>
      <w:sz w:val="24"/>
      <w:szCs w:val="24"/>
      <w:lang w:val="en-US" w:eastAsia="en-US" w:bidi="ar-SA"/>
    </w:rPr>
  </w:style>
  <w:style w:type="paragraph" w:customStyle="1" w:styleId="19">
    <w:name w:val="样式 28 小四"/>
    <w:rPr>
      <w:rFonts w:ascii="Times New Roman" w:eastAsia="宋体" w:cs="Times New Roman" w:hAnsi="Times New Roman"/>
      <w:sz w:val="24"/>
      <w:szCs w:val="24"/>
      <w:lang w:val="en-US" w:eastAsia="en-US" w:bidi="ar-SA"/>
    </w:rPr>
  </w:style>
  <w:style w:type="paragraph" w:styleId="20">
    <w:name w:val="Normal (Web)"/>
    <w:next w:val="16"/>
    <w:pPr>
      <w:widowControl w:val="0"/>
      <w:spacing w:before="100" w:beforeAutospacing="1" w:after="100" w:afterAutospacing="1"/>
    </w:pPr>
    <w:rPr>
      <w:rFonts w:ascii="Times New Roman" w:eastAsia="宋体" w:cs="Times New Roman" w:hAnsi="Times New Roman"/>
      <w:sz w:val="24"/>
      <w:szCs w:val="30"/>
      <w:lang w:val="en-US" w:eastAsia="zh-CN" w:bidi="ar-SA"/>
    </w:rPr>
  </w:style>
  <w:style w:type="paragraph" w:customStyle="1" w:styleId="21">
    <w:name w:val="样式 小三"/>
    <w:next w:val="23"/>
    <w:pPr>
      <w:widowControl w:val="0"/>
      <w:jc w:val="both"/>
    </w:pPr>
    <w:rPr>
      <w:rFonts w:ascii="Times New Roman" w:eastAsia="宋体" w:cs="Times New Roman" w:hAnsi="Times New Roman"/>
      <w:kern w:val="2"/>
      <w:sz w:val="30"/>
      <w:szCs w:val="30"/>
      <w:lang w:val="en-US" w:eastAsia="zh-CN" w:bidi="ar-SA"/>
    </w:rPr>
  </w:style>
  <w:style w:type="paragraph" w:customStyle="1" w:styleId="22">
    <w:name w:val="样式 50 三号"/>
    <w:next w:val="24"/>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styleId="23">
    <w:name w:val="toc 2"/>
    <w:basedOn w:val="0"/>
    <w:autoRedefine/>
    <w:next w:val="0"/>
    <w:pPr>
      <w:ind w:leftChars="200" w:left="200"/>
    </w:pPr>
  </w:style>
  <w:style w:type="paragraph" w:styleId="24">
    <w:name w:val="index 6"/>
    <w:basedOn w:val="0"/>
    <w:autoRedefine/>
    <w:next w:val="0"/>
    <w:pPr>
      <w:ind w:leftChars="1000" w:left="1000"/>
    </w:pPr>
  </w:style>
  <w:style w:type="paragraph" w:customStyle="1" w:styleId="25">
    <w:name w:val="样式 1 10 磅"/>
    <w:pPr>
      <w:widowControl w:val="0"/>
      <w:jc w:val="both"/>
    </w:pPr>
    <w:rPr>
      <w:rFonts w:ascii="Calibri" w:eastAsia="宋体" w:cs="Arial" w:hAnsi="Calibri"/>
      <w:kern w:val="2"/>
      <w:sz w:val="21"/>
      <w:szCs w:val="22"/>
      <w:lang w:val="en-US" w:eastAsia="zh-CN" w:bidi="ar-SA"/>
    </w:rPr>
  </w:style>
  <w:style w:type="paragraph" w:styleId="26">
    <w:name w:val="Balloon Text"/>
    <w:basedOn w:val="0"/>
    <w:rPr>
      <w:sz w:val="18"/>
      <w:szCs w:val="18"/>
    </w:rPr>
  </w:style>
  <w:style w:type="character" w:styleId="27">
    <w:name w:val="Hyperlink"/>
    <w:basedOn w:val="10"/>
    <w:rPr>
      <w:color w:val="0000FF"/>
      <w:u w:val="single"/>
    </w:rPr>
  </w:style>
  <w:style w:type="paragraph" w:customStyle="1" w:styleId="28">
    <w:name w:val="样式 7 三号"/>
    <w:next w:val="16"/>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156</TotalTime>
  <Application>Yozo_Office</Application>
  <Pages>6</Pages>
  <Words>2817</Words>
  <Characters>2957</Characters>
  <Lines>458</Lines>
  <Paragraphs>316</Paragraphs>
  <CharactersWithSpaces>2957</CharactersWithSpaces>
  <Company>Customs</Company>
</Properties>
</file>

<file path=docProps/core.xml><?xml version="1.0" encoding="utf-8"?>
<cp:coreProperties xmlns:cp="http://schemas.openxmlformats.org/package/2006/metadata/core-properties" xmlns:dc="http://purl.org/dc/elements/1.1/" xmlns:dcterms="http://purl.org/dc/terms/" xmlns:xsi="http://www.w3.org/2001/XMLSchema-instance">
  <dc:creator>陈雪静</dc:creator>
  <cp:lastModifiedBy>张楠</cp:lastModifiedBy>
  <cp:revision>59</cp:revision>
  <dcterms:created xsi:type="dcterms:W3CDTF">2021-01-28T08:10:00Z</dcterms:created>
  <dcterms:modified xsi:type="dcterms:W3CDTF">2022-07-18T06:55:10Z</dcterms:modified>
</cp:coreProperties>
</file>